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88D6D3">
      <w:pPr>
        <w:tabs>
          <w:tab w:val="left" w:pos="1980"/>
        </w:tabs>
        <w:adjustRightInd w:val="0"/>
        <w:snapToGrid w:val="0"/>
        <w:spacing w:line="360" w:lineRule="auto"/>
        <w:jc w:val="center"/>
        <w:textAlignment w:val="baseline"/>
        <w:rPr>
          <w:rFonts w:ascii="方正小标宋简体" w:hAnsi="黑体" w:eastAsia="方正小标宋简体"/>
          <w:b/>
          <w:sz w:val="40"/>
          <w:szCs w:val="36"/>
        </w:rPr>
      </w:pPr>
    </w:p>
    <w:p w14:paraId="7AF8AC8A">
      <w:pPr>
        <w:tabs>
          <w:tab w:val="left" w:pos="1980"/>
        </w:tabs>
        <w:adjustRightInd w:val="0"/>
        <w:snapToGrid w:val="0"/>
        <w:spacing w:line="360" w:lineRule="auto"/>
        <w:jc w:val="center"/>
        <w:textAlignment w:val="baseline"/>
        <w:rPr>
          <w:rFonts w:ascii="方正小标宋简体" w:hAnsi="黑体" w:eastAsia="方正小标宋简体"/>
          <w:b/>
          <w:sz w:val="40"/>
          <w:szCs w:val="36"/>
        </w:rPr>
      </w:pPr>
    </w:p>
    <w:p w14:paraId="3076E3A1">
      <w:pPr>
        <w:tabs>
          <w:tab w:val="left" w:pos="1980"/>
        </w:tabs>
        <w:adjustRightInd w:val="0"/>
        <w:snapToGrid w:val="0"/>
        <w:spacing w:line="360" w:lineRule="auto"/>
        <w:jc w:val="center"/>
        <w:textAlignment w:val="baseline"/>
        <w:rPr>
          <w:rFonts w:ascii="方正小标宋简体" w:hAnsi="黑体" w:eastAsia="方正小标宋简体"/>
          <w:b/>
          <w:sz w:val="40"/>
          <w:szCs w:val="36"/>
        </w:rPr>
      </w:pPr>
    </w:p>
    <w:p w14:paraId="0523D995">
      <w:pPr>
        <w:tabs>
          <w:tab w:val="left" w:pos="1980"/>
        </w:tabs>
        <w:adjustRightInd w:val="0"/>
        <w:snapToGrid w:val="0"/>
        <w:spacing w:line="360" w:lineRule="auto"/>
        <w:jc w:val="center"/>
        <w:textAlignment w:val="baseline"/>
        <w:rPr>
          <w:rFonts w:ascii="方正小标宋简体" w:hAnsi="黑体" w:eastAsia="方正小标宋简体"/>
          <w:sz w:val="48"/>
          <w:szCs w:val="48"/>
        </w:rPr>
      </w:pPr>
      <w:r>
        <w:rPr>
          <w:rFonts w:hint="eastAsia" w:ascii="方正小标宋简体" w:hAnsi="黑体" w:eastAsia="方正小标宋简体" w:cs="Times New Roman"/>
          <w:spacing w:val="-17"/>
          <w:sz w:val="48"/>
          <w:szCs w:val="48"/>
        </w:rPr>
        <w:t>会计事务</w:t>
      </w:r>
      <w:r>
        <w:rPr>
          <w:rFonts w:hint="eastAsia" w:ascii="方正小标宋简体" w:hAnsi="黑体" w:eastAsia="方正小标宋简体"/>
          <w:sz w:val="48"/>
          <w:szCs w:val="48"/>
        </w:rPr>
        <w:t>专业人才培养方案</w:t>
      </w:r>
    </w:p>
    <w:p w14:paraId="63D11C98">
      <w:pPr>
        <w:tabs>
          <w:tab w:val="left" w:pos="1980"/>
        </w:tabs>
        <w:adjustRightInd w:val="0"/>
        <w:snapToGrid w:val="0"/>
        <w:spacing w:line="360" w:lineRule="auto"/>
        <w:jc w:val="center"/>
        <w:textAlignment w:val="baseline"/>
        <w:rPr>
          <w:rFonts w:ascii="方正小标宋简体" w:hAnsi="黑体" w:eastAsia="方正小标宋简体"/>
          <w:sz w:val="36"/>
          <w:szCs w:val="36"/>
        </w:rPr>
      </w:pPr>
    </w:p>
    <w:p w14:paraId="4A327659">
      <w:pPr>
        <w:widowControl/>
        <w:jc w:val="left"/>
        <w:rPr>
          <w:rFonts w:ascii="黑体" w:hAnsi="黑体" w:eastAsia="黑体"/>
          <w:b/>
          <w:sz w:val="44"/>
          <w:szCs w:val="44"/>
        </w:rPr>
      </w:pPr>
    </w:p>
    <w:p w14:paraId="0475B399">
      <w:pPr>
        <w:widowControl/>
        <w:jc w:val="left"/>
        <w:rPr>
          <w:rFonts w:ascii="黑体" w:hAnsi="黑体" w:eastAsia="黑体"/>
          <w:b/>
          <w:sz w:val="44"/>
          <w:szCs w:val="44"/>
        </w:rPr>
      </w:pPr>
    </w:p>
    <w:p w14:paraId="7FCC9E9A">
      <w:pPr>
        <w:widowControl/>
        <w:jc w:val="left"/>
        <w:rPr>
          <w:rFonts w:ascii="黑体" w:hAnsi="黑体" w:eastAsia="黑体"/>
          <w:b/>
          <w:sz w:val="44"/>
          <w:szCs w:val="44"/>
        </w:rPr>
      </w:pPr>
    </w:p>
    <w:p w14:paraId="43504A07">
      <w:pPr>
        <w:widowControl/>
        <w:jc w:val="left"/>
        <w:rPr>
          <w:rFonts w:ascii="黑体" w:hAnsi="黑体" w:eastAsia="黑体"/>
          <w:b/>
          <w:sz w:val="44"/>
          <w:szCs w:val="44"/>
        </w:rPr>
      </w:pPr>
    </w:p>
    <w:p w14:paraId="1000D7CF">
      <w:pPr>
        <w:widowControl/>
        <w:jc w:val="left"/>
        <w:rPr>
          <w:rFonts w:ascii="黑体" w:hAnsi="黑体" w:eastAsia="黑体"/>
          <w:b/>
          <w:sz w:val="44"/>
          <w:szCs w:val="44"/>
        </w:rPr>
      </w:pPr>
    </w:p>
    <w:p w14:paraId="5F9EA0AF">
      <w:pPr>
        <w:widowControl/>
        <w:jc w:val="left"/>
        <w:rPr>
          <w:rFonts w:ascii="黑体" w:hAnsi="黑体" w:eastAsia="黑体"/>
          <w:b/>
          <w:sz w:val="44"/>
          <w:szCs w:val="44"/>
        </w:rPr>
      </w:pPr>
    </w:p>
    <w:p w14:paraId="612E86FD">
      <w:pPr>
        <w:widowControl/>
        <w:jc w:val="left"/>
        <w:rPr>
          <w:rFonts w:ascii="黑体" w:hAnsi="黑体" w:eastAsia="黑体"/>
          <w:b/>
          <w:sz w:val="44"/>
          <w:szCs w:val="44"/>
        </w:rPr>
      </w:pPr>
    </w:p>
    <w:p w14:paraId="734FC3A3">
      <w:pPr>
        <w:widowControl/>
        <w:jc w:val="left"/>
        <w:rPr>
          <w:rFonts w:ascii="黑体" w:hAnsi="黑体" w:eastAsia="黑体"/>
          <w:b/>
          <w:sz w:val="44"/>
          <w:szCs w:val="44"/>
        </w:rPr>
      </w:pPr>
    </w:p>
    <w:p w14:paraId="5716EAF2">
      <w:pPr>
        <w:widowControl/>
        <w:jc w:val="left"/>
        <w:rPr>
          <w:rFonts w:ascii="黑体" w:hAnsi="黑体" w:eastAsia="黑体"/>
          <w:b/>
          <w:sz w:val="44"/>
          <w:szCs w:val="44"/>
        </w:rPr>
      </w:pPr>
    </w:p>
    <w:p w14:paraId="747A0D8D">
      <w:pPr>
        <w:widowControl/>
        <w:jc w:val="left"/>
        <w:rPr>
          <w:rFonts w:ascii="黑体" w:hAnsi="黑体" w:eastAsia="黑体"/>
          <w:b/>
          <w:sz w:val="44"/>
          <w:szCs w:val="44"/>
        </w:rPr>
      </w:pPr>
    </w:p>
    <w:p w14:paraId="4BC2C3A7">
      <w:pPr>
        <w:widowControl/>
        <w:jc w:val="left"/>
        <w:rPr>
          <w:rFonts w:ascii="黑体" w:hAnsi="黑体" w:eastAsia="黑体"/>
          <w:b/>
          <w:sz w:val="44"/>
          <w:szCs w:val="44"/>
        </w:rPr>
      </w:pPr>
    </w:p>
    <w:p w14:paraId="0CA9418B">
      <w:pPr>
        <w:widowControl/>
        <w:jc w:val="center"/>
        <w:rPr>
          <w:rFonts w:ascii="楷体" w:hAnsi="楷体" w:eastAsia="楷体"/>
          <w:sz w:val="32"/>
          <w:szCs w:val="32"/>
        </w:rPr>
      </w:pPr>
      <w:r>
        <w:rPr>
          <w:rFonts w:hint="eastAsia" w:ascii="楷体" w:hAnsi="楷体" w:eastAsia="楷体"/>
          <w:sz w:val="32"/>
          <w:szCs w:val="32"/>
        </w:rPr>
        <w:t>山东省潍坊商业学校</w:t>
      </w:r>
    </w:p>
    <w:p w14:paraId="19F56FA8">
      <w:pPr>
        <w:widowControl/>
        <w:jc w:val="center"/>
        <w:rPr>
          <w:rFonts w:ascii="楷体" w:hAnsi="楷体" w:eastAsia="楷体"/>
          <w:sz w:val="32"/>
          <w:szCs w:val="32"/>
        </w:rPr>
      </w:pPr>
      <w:r>
        <w:rPr>
          <w:rFonts w:hint="eastAsia" w:ascii="楷体" w:hAnsi="楷体" w:eastAsia="楷体"/>
          <w:sz w:val="32"/>
          <w:szCs w:val="32"/>
        </w:rPr>
        <w:t>2024年6月</w:t>
      </w:r>
      <w:r>
        <w:rPr>
          <w:rFonts w:ascii="楷体" w:hAnsi="楷体" w:eastAsia="楷体"/>
          <w:sz w:val="32"/>
          <w:szCs w:val="32"/>
        </w:rPr>
        <w:t>18</w:t>
      </w:r>
      <w:r>
        <w:rPr>
          <w:rFonts w:hint="eastAsia" w:ascii="楷体" w:hAnsi="楷体" w:eastAsia="楷体"/>
          <w:sz w:val="32"/>
          <w:szCs w:val="32"/>
        </w:rPr>
        <w:t>日</w:t>
      </w:r>
    </w:p>
    <w:p w14:paraId="6D82EB44">
      <w:pPr>
        <w:widowControl/>
        <w:jc w:val="center"/>
        <w:rPr>
          <w:rFonts w:ascii="黑体" w:hAnsi="黑体" w:eastAsia="黑体"/>
          <w:b/>
          <w:sz w:val="44"/>
          <w:szCs w:val="44"/>
        </w:rPr>
      </w:pPr>
      <w:r>
        <w:rPr>
          <w:rFonts w:ascii="黑体" w:hAnsi="黑体" w:eastAsia="黑体"/>
          <w:b/>
          <w:sz w:val="44"/>
          <w:szCs w:val="44"/>
        </w:rPr>
        <w:br w:type="page"/>
      </w:r>
    </w:p>
    <w:p w14:paraId="2B090F41">
      <w:pPr>
        <w:jc w:val="center"/>
        <w:rPr>
          <w:rFonts w:ascii="方正小标宋简体" w:hAnsi="宋体" w:eastAsia="方正小标宋简体"/>
          <w:sz w:val="36"/>
          <w:szCs w:val="36"/>
        </w:rPr>
      </w:pPr>
      <w:r>
        <w:rPr>
          <w:rFonts w:hint="eastAsia" w:ascii="方正小标宋简体" w:hAnsi="宋体" w:eastAsia="方正小标宋简体"/>
          <w:sz w:val="36"/>
          <w:szCs w:val="36"/>
        </w:rPr>
        <w:t>编制说明</w:t>
      </w:r>
    </w:p>
    <w:p w14:paraId="498E62EC">
      <w:pPr>
        <w:ind w:firstLine="560" w:firstLineChars="200"/>
        <w:rPr>
          <w:rFonts w:ascii="仿宋_GB2312" w:hAnsi="宋体" w:eastAsia="仿宋_GB2312"/>
          <w:sz w:val="28"/>
          <w:szCs w:val="28"/>
        </w:rPr>
      </w:pPr>
    </w:p>
    <w:p w14:paraId="4474DB0E">
      <w:pPr>
        <w:ind w:firstLine="560" w:firstLineChars="200"/>
        <w:rPr>
          <w:rFonts w:ascii="仿宋_GB2312" w:hAnsi="宋体" w:eastAsia="仿宋_GB2312"/>
          <w:sz w:val="28"/>
          <w:szCs w:val="28"/>
        </w:rPr>
      </w:pPr>
      <w:r>
        <w:rPr>
          <w:rFonts w:hint="eastAsia" w:ascii="仿宋_GB2312" w:hAnsi="宋体" w:eastAsia="仿宋_GB2312"/>
          <w:sz w:val="28"/>
          <w:szCs w:val="28"/>
        </w:rPr>
        <w:t>本人才培养方案适于三年制中职会计事务专业，由学校会计专业教学团队共同研制，经会计事务专业建设委员会论证、教务处审核、学校专业建设委员会论证、学校党委审定后，将在 2024级会计事务专业实施。</w:t>
      </w:r>
    </w:p>
    <w:p w14:paraId="44209308">
      <w:pPr>
        <w:ind w:firstLine="560" w:firstLineChars="200"/>
        <w:rPr>
          <w:rFonts w:ascii="黑体" w:hAnsi="黑体" w:eastAsia="黑体" w:cs="黑体"/>
          <w:sz w:val="28"/>
          <w:szCs w:val="28"/>
        </w:rPr>
      </w:pPr>
      <w:r>
        <w:rPr>
          <w:rFonts w:hint="eastAsia" w:ascii="黑体" w:hAnsi="黑体" w:eastAsia="黑体" w:cs="黑体"/>
          <w:sz w:val="28"/>
          <w:szCs w:val="28"/>
        </w:rPr>
        <w:t>一、人才培养方案组成</w:t>
      </w:r>
    </w:p>
    <w:p w14:paraId="66A7B76F">
      <w:pPr>
        <w:ind w:firstLine="560" w:firstLineChars="200"/>
        <w:rPr>
          <w:rFonts w:ascii="仿宋_GB2312" w:hAnsi="宋体" w:eastAsia="仿宋_GB2312"/>
          <w:sz w:val="28"/>
          <w:szCs w:val="28"/>
        </w:rPr>
      </w:pPr>
      <w:r>
        <w:rPr>
          <w:rFonts w:hint="eastAsia" w:ascii="仿宋_GB2312" w:hAnsi="宋体" w:eastAsia="仿宋_GB2312"/>
          <w:sz w:val="28"/>
          <w:szCs w:val="28"/>
        </w:rPr>
        <w:t>本方案共分四部分：第一部分为人才培养方案；：第二部分为专业师资配备标准；第三部分为专业技能实训室实训设备配备标准专业师资配备标准；第四部分为附件，包括调研报告、课程标准、专业人才培养方案论证表和审定意见表等。</w:t>
      </w:r>
    </w:p>
    <w:p w14:paraId="3B20F6A5">
      <w:pPr>
        <w:ind w:firstLine="560" w:firstLineChars="200"/>
        <w:rPr>
          <w:rFonts w:ascii="黑体" w:hAnsi="黑体" w:eastAsia="黑体" w:cs="黑体"/>
          <w:sz w:val="28"/>
          <w:szCs w:val="28"/>
        </w:rPr>
      </w:pPr>
      <w:r>
        <w:rPr>
          <w:rFonts w:hint="eastAsia" w:ascii="黑体" w:hAnsi="黑体" w:eastAsia="黑体" w:cs="黑体"/>
          <w:sz w:val="28"/>
          <w:szCs w:val="28"/>
        </w:rPr>
        <w:t>二、人才培养方案研制团队</w:t>
      </w:r>
    </w:p>
    <w:p w14:paraId="4B8418C8">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魏亚丽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 xml:space="preserve"> 山东省潍坊商业学校       正高级讲师</w:t>
      </w:r>
    </w:p>
    <w:p w14:paraId="538B5A1E">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刘  伟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 xml:space="preserve"> 潍坊学院经济管理学院院长 教  授</w:t>
      </w:r>
    </w:p>
    <w:p w14:paraId="06439100">
      <w:pPr>
        <w:ind w:firstLine="560" w:firstLineChars="200"/>
        <w:rPr>
          <w:rFonts w:ascii="仿宋_GB2312" w:hAnsi="宋体" w:eastAsia="仿宋_GB2312"/>
          <w:sz w:val="28"/>
          <w:szCs w:val="28"/>
        </w:rPr>
      </w:pPr>
      <w:r>
        <w:rPr>
          <w:rFonts w:hint="eastAsia" w:ascii="仿宋_GB2312" w:hAnsi="宋体" w:eastAsia="仿宋_GB2312"/>
          <w:sz w:val="28"/>
          <w:szCs w:val="28"/>
        </w:rPr>
        <w:t>姜佳琪   潍坊乾晟会计师事务所    总经理</w:t>
      </w:r>
    </w:p>
    <w:p w14:paraId="193DB675">
      <w:pPr>
        <w:ind w:firstLine="560" w:firstLineChars="200"/>
        <w:rPr>
          <w:rFonts w:ascii="仿宋_GB2312" w:hAnsi="宋体" w:eastAsia="仿宋_GB2312"/>
          <w:sz w:val="28"/>
          <w:szCs w:val="28"/>
        </w:rPr>
      </w:pPr>
      <w:r>
        <w:rPr>
          <w:rFonts w:hint="eastAsia" w:ascii="仿宋_GB2312" w:hAnsi="宋体" w:eastAsia="仿宋_GB2312"/>
          <w:sz w:val="28"/>
          <w:szCs w:val="28"/>
        </w:rPr>
        <w:t>冯乐尧   山东省潍坊商业学校      高级讲师</w:t>
      </w:r>
    </w:p>
    <w:p w14:paraId="5B0B77A5">
      <w:pPr>
        <w:ind w:firstLine="560" w:firstLineChars="200"/>
        <w:rPr>
          <w:rFonts w:ascii="仿宋_GB2312" w:hAnsi="宋体" w:eastAsia="仿宋_GB2312"/>
          <w:sz w:val="28"/>
          <w:szCs w:val="28"/>
        </w:rPr>
      </w:pPr>
      <w:r>
        <w:rPr>
          <w:rFonts w:hint="eastAsia" w:ascii="仿宋_GB2312" w:hAnsi="宋体" w:eastAsia="仿宋_GB2312"/>
          <w:sz w:val="28"/>
          <w:szCs w:val="28"/>
        </w:rPr>
        <w:t>姜佰慧   山东省潍坊商业学校      中级讲师</w:t>
      </w:r>
    </w:p>
    <w:p w14:paraId="41A20380">
      <w:pPr>
        <w:ind w:firstLine="560" w:firstLineChars="200"/>
        <w:rPr>
          <w:rFonts w:ascii="仿宋_GB2312" w:hAnsi="宋体" w:eastAsia="仿宋_GB2312"/>
          <w:sz w:val="28"/>
          <w:szCs w:val="28"/>
        </w:rPr>
      </w:pPr>
      <w:r>
        <w:rPr>
          <w:rFonts w:hint="eastAsia" w:ascii="仿宋_GB2312" w:hAnsi="宋体" w:eastAsia="仿宋_GB2312"/>
          <w:sz w:val="28"/>
          <w:szCs w:val="28"/>
        </w:rPr>
        <w:t>赵  倩   山东省潍坊商业学校      中级讲师</w:t>
      </w:r>
    </w:p>
    <w:p w14:paraId="51596925">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张若芸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 xml:space="preserve"> 山东省潍坊商业学校       中级讲师</w:t>
      </w:r>
    </w:p>
    <w:p w14:paraId="72D64F5E">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杨丽媛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 xml:space="preserve"> 山东省潍坊商业学校       中级讲师</w:t>
      </w:r>
    </w:p>
    <w:p w14:paraId="419739BE">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赵  蕾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山东省潍坊商业学校       初级讲师</w:t>
      </w:r>
    </w:p>
    <w:p w14:paraId="25604CE6">
      <w:pPr>
        <w:ind w:firstLine="560" w:firstLineChars="200"/>
        <w:rPr>
          <w:rFonts w:ascii="仿宋_GB2312" w:hAnsi="宋体" w:eastAsia="仿宋_GB2312"/>
          <w:sz w:val="28"/>
          <w:szCs w:val="28"/>
        </w:rPr>
      </w:pPr>
    </w:p>
    <w:p w14:paraId="08BD2A8A">
      <w:pPr>
        <w:jc w:val="center"/>
        <w:rPr>
          <w:rFonts w:ascii="黑体" w:hAnsi="黑体" w:eastAsia="黑体"/>
          <w:sz w:val="32"/>
          <w:szCs w:val="32"/>
        </w:rPr>
      </w:pPr>
      <w:r>
        <w:rPr>
          <w:rFonts w:hint="eastAsia" w:ascii="黑体" w:hAnsi="黑体" w:eastAsia="黑体"/>
          <w:sz w:val="32"/>
          <w:szCs w:val="32"/>
        </w:rPr>
        <w:t>目  录</w:t>
      </w:r>
    </w:p>
    <w:sdt>
      <w:sdtPr>
        <w:rPr>
          <w:rFonts w:asciiTheme="minorHAnsi" w:hAnsiTheme="minorHAnsi" w:eastAsiaTheme="minorEastAsia" w:cstheme="minorBidi"/>
          <w:b w:val="0"/>
          <w:bCs w:val="0"/>
          <w:color w:val="auto"/>
          <w:kern w:val="2"/>
          <w:sz w:val="21"/>
          <w:szCs w:val="22"/>
          <w:lang w:val="zh-CN"/>
        </w:rPr>
        <w:id w:val="464385625"/>
        <w:docPartObj>
          <w:docPartGallery w:val="Table of Contents"/>
          <w:docPartUnique/>
        </w:docPartObj>
      </w:sdtPr>
      <w:sdtEndPr>
        <w:rPr>
          <w:rFonts w:ascii="仿宋" w:hAnsi="仿宋" w:eastAsia="仿宋" w:cstheme="minorBidi"/>
          <w:b w:val="0"/>
          <w:bCs w:val="0"/>
          <w:color w:val="auto"/>
          <w:kern w:val="2"/>
          <w:sz w:val="24"/>
          <w:szCs w:val="24"/>
          <w:lang w:val="zh-CN"/>
        </w:rPr>
      </w:sdtEndPr>
      <w:sdtContent>
        <w:p w14:paraId="4B229ADA">
          <w:pPr>
            <w:pStyle w:val="174"/>
          </w:pPr>
        </w:p>
        <w:p w14:paraId="55756115">
          <w:pPr>
            <w:pStyle w:val="29"/>
            <w:tabs>
              <w:tab w:val="right" w:leader="dot" w:pos="8306"/>
            </w:tabs>
          </w:pPr>
          <w:r>
            <w:rPr>
              <w:rFonts w:hint="eastAsia" w:ascii="仿宋" w:hAnsi="仿宋" w:eastAsia="仿宋"/>
              <w:sz w:val="24"/>
            </w:rPr>
            <w:fldChar w:fldCharType="begin"/>
          </w:r>
          <w:r>
            <w:rPr>
              <w:rFonts w:hint="eastAsia" w:ascii="仿宋" w:hAnsi="仿宋" w:eastAsia="仿宋"/>
              <w:sz w:val="24"/>
            </w:rPr>
            <w:instrText xml:space="preserve"> TOC \o "1-3" \h \z \u </w:instrText>
          </w:r>
          <w:r>
            <w:rPr>
              <w:rFonts w:hint="eastAsia" w:ascii="仿宋" w:hAnsi="仿宋" w:eastAsia="仿宋"/>
              <w:sz w:val="24"/>
            </w:rPr>
            <w:fldChar w:fldCharType="separate"/>
          </w:r>
          <w:r>
            <w:rPr>
              <w:rFonts w:hint="eastAsia" w:ascii="仿宋" w:hAnsi="仿宋" w:eastAsia="仿宋"/>
            </w:rPr>
            <w:fldChar w:fldCharType="begin"/>
          </w:r>
          <w:r>
            <w:rPr>
              <w:rFonts w:hint="eastAsia" w:ascii="仿宋" w:hAnsi="仿宋" w:eastAsia="仿宋"/>
            </w:rPr>
            <w:instrText xml:space="preserve"> HYPERLINK \l _Toc15318 </w:instrText>
          </w:r>
          <w:r>
            <w:rPr>
              <w:rFonts w:hint="eastAsia" w:ascii="仿宋" w:hAnsi="仿宋" w:eastAsia="仿宋"/>
            </w:rPr>
            <w:fldChar w:fldCharType="separate"/>
          </w:r>
          <w:r>
            <w:rPr>
              <w:rFonts w:hint="eastAsia" w:ascii="黑体" w:hAnsi="Times New Roman"/>
              <w:szCs w:val="21"/>
            </w:rPr>
            <w:t>一、专业名称及代码</w:t>
          </w:r>
          <w:r>
            <w:tab/>
          </w:r>
          <w:r>
            <w:fldChar w:fldCharType="begin"/>
          </w:r>
          <w:r>
            <w:instrText xml:space="preserve"> PAGEREF _Toc15318 \h </w:instrText>
          </w:r>
          <w:r>
            <w:fldChar w:fldCharType="separate"/>
          </w:r>
          <w:r>
            <w:t>1</w:t>
          </w:r>
          <w:r>
            <w:fldChar w:fldCharType="end"/>
          </w:r>
          <w:r>
            <w:rPr>
              <w:rFonts w:hint="eastAsia" w:ascii="仿宋" w:hAnsi="仿宋" w:eastAsia="仿宋"/>
            </w:rPr>
            <w:fldChar w:fldCharType="end"/>
          </w:r>
        </w:p>
        <w:p w14:paraId="0821D986">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_Toc21188 </w:instrText>
          </w:r>
          <w:r>
            <w:rPr>
              <w:rFonts w:hint="eastAsia" w:ascii="仿宋" w:hAnsi="仿宋" w:eastAsia="仿宋"/>
              <w:bCs/>
              <w:szCs w:val="24"/>
              <w:lang w:val="zh-CN"/>
            </w:rPr>
            <w:fldChar w:fldCharType="separate"/>
          </w:r>
          <w:r>
            <w:rPr>
              <w:rFonts w:hint="eastAsia" w:ascii="黑体" w:hAnsi="Times New Roman"/>
              <w:szCs w:val="21"/>
            </w:rPr>
            <w:t>二、入学要求</w:t>
          </w:r>
          <w:r>
            <w:tab/>
          </w:r>
          <w:r>
            <w:fldChar w:fldCharType="begin"/>
          </w:r>
          <w:r>
            <w:instrText xml:space="preserve"> PAGEREF _Toc21188 \h </w:instrText>
          </w:r>
          <w:r>
            <w:fldChar w:fldCharType="separate"/>
          </w:r>
          <w:r>
            <w:t>1</w:t>
          </w:r>
          <w:r>
            <w:fldChar w:fldCharType="end"/>
          </w:r>
          <w:r>
            <w:rPr>
              <w:rFonts w:hint="eastAsia" w:ascii="仿宋" w:hAnsi="仿宋" w:eastAsia="仿宋"/>
              <w:bCs/>
              <w:szCs w:val="24"/>
              <w:lang w:val="zh-CN"/>
            </w:rPr>
            <w:fldChar w:fldCharType="end"/>
          </w:r>
        </w:p>
        <w:p w14:paraId="6049D801">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_Toc29894 </w:instrText>
          </w:r>
          <w:r>
            <w:rPr>
              <w:rFonts w:hint="eastAsia" w:ascii="仿宋" w:hAnsi="仿宋" w:eastAsia="仿宋"/>
              <w:bCs/>
              <w:szCs w:val="24"/>
              <w:lang w:val="zh-CN"/>
            </w:rPr>
            <w:fldChar w:fldCharType="separate"/>
          </w:r>
          <w:r>
            <w:rPr>
              <w:rFonts w:hint="eastAsia" w:ascii="黑体" w:hAnsi="Times New Roman"/>
              <w:szCs w:val="21"/>
            </w:rPr>
            <w:t>三、修业年限</w:t>
          </w:r>
          <w:r>
            <w:tab/>
          </w:r>
          <w:r>
            <w:fldChar w:fldCharType="begin"/>
          </w:r>
          <w:r>
            <w:instrText xml:space="preserve"> PAGEREF _Toc29894 \h </w:instrText>
          </w:r>
          <w:r>
            <w:fldChar w:fldCharType="separate"/>
          </w:r>
          <w:r>
            <w:t>1</w:t>
          </w:r>
          <w:r>
            <w:fldChar w:fldCharType="end"/>
          </w:r>
          <w:r>
            <w:rPr>
              <w:rFonts w:hint="eastAsia" w:ascii="仿宋" w:hAnsi="仿宋" w:eastAsia="仿宋"/>
              <w:bCs/>
              <w:szCs w:val="24"/>
              <w:lang w:val="zh-CN"/>
            </w:rPr>
            <w:fldChar w:fldCharType="end"/>
          </w:r>
        </w:p>
        <w:p w14:paraId="32F4B819">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_Toc16659 </w:instrText>
          </w:r>
          <w:r>
            <w:rPr>
              <w:rFonts w:hint="eastAsia" w:ascii="仿宋" w:hAnsi="仿宋" w:eastAsia="仿宋"/>
              <w:bCs/>
              <w:szCs w:val="24"/>
              <w:lang w:val="zh-CN"/>
            </w:rPr>
            <w:fldChar w:fldCharType="separate"/>
          </w:r>
          <w:r>
            <w:rPr>
              <w:rFonts w:hint="eastAsia" w:ascii="黑体" w:hAnsi="Times New Roman"/>
              <w:szCs w:val="21"/>
            </w:rPr>
            <w:t>四、</w:t>
          </w:r>
          <w:r>
            <w:rPr>
              <w:rFonts w:ascii="黑体" w:hAnsi="Times New Roman"/>
              <w:szCs w:val="21"/>
            </w:rPr>
            <w:t>职业面向</w:t>
          </w:r>
          <w:r>
            <w:tab/>
          </w:r>
          <w:r>
            <w:fldChar w:fldCharType="begin"/>
          </w:r>
          <w:r>
            <w:instrText xml:space="preserve"> PAGEREF _Toc16659 \h </w:instrText>
          </w:r>
          <w:r>
            <w:fldChar w:fldCharType="separate"/>
          </w:r>
          <w:r>
            <w:t>1</w:t>
          </w:r>
          <w:r>
            <w:fldChar w:fldCharType="end"/>
          </w:r>
          <w:r>
            <w:rPr>
              <w:rFonts w:hint="eastAsia" w:ascii="仿宋" w:hAnsi="仿宋" w:eastAsia="仿宋"/>
              <w:bCs/>
              <w:szCs w:val="24"/>
              <w:lang w:val="zh-CN"/>
            </w:rPr>
            <w:fldChar w:fldCharType="end"/>
          </w:r>
        </w:p>
        <w:p w14:paraId="768A68B3">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_Toc20772 </w:instrText>
          </w:r>
          <w:r>
            <w:rPr>
              <w:rFonts w:hint="eastAsia" w:ascii="仿宋" w:hAnsi="仿宋" w:eastAsia="仿宋"/>
              <w:bCs/>
              <w:szCs w:val="24"/>
              <w:lang w:val="zh-CN"/>
            </w:rPr>
            <w:fldChar w:fldCharType="separate"/>
          </w:r>
          <w:r>
            <w:rPr>
              <w:rFonts w:hint="eastAsia" w:ascii="黑体" w:hAnsi="Times New Roman"/>
              <w:szCs w:val="21"/>
            </w:rPr>
            <w:t>五、培养目标与规格</w:t>
          </w:r>
          <w:r>
            <w:tab/>
          </w:r>
          <w:r>
            <w:fldChar w:fldCharType="begin"/>
          </w:r>
          <w:r>
            <w:instrText xml:space="preserve"> PAGEREF _Toc20772 \h </w:instrText>
          </w:r>
          <w:r>
            <w:fldChar w:fldCharType="separate"/>
          </w:r>
          <w:r>
            <w:t>2</w:t>
          </w:r>
          <w:r>
            <w:fldChar w:fldCharType="end"/>
          </w:r>
          <w:r>
            <w:rPr>
              <w:rFonts w:hint="eastAsia" w:ascii="仿宋" w:hAnsi="仿宋" w:eastAsia="仿宋"/>
              <w:bCs/>
              <w:szCs w:val="24"/>
              <w:lang w:val="zh-CN"/>
            </w:rPr>
            <w:fldChar w:fldCharType="end"/>
          </w:r>
        </w:p>
        <w:p w14:paraId="03BA4326">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_Toc24117 </w:instrText>
          </w:r>
          <w:r>
            <w:rPr>
              <w:rFonts w:hint="eastAsia" w:ascii="仿宋" w:hAnsi="仿宋" w:eastAsia="仿宋"/>
              <w:bCs/>
              <w:szCs w:val="24"/>
              <w:lang w:val="zh-CN"/>
            </w:rPr>
            <w:fldChar w:fldCharType="separate"/>
          </w:r>
          <w:r>
            <w:rPr>
              <w:rFonts w:hint="eastAsia" w:ascii="黑体" w:hAnsi="Times New Roman"/>
              <w:szCs w:val="21"/>
            </w:rPr>
            <w:t>六、</w:t>
          </w:r>
          <w:r>
            <w:rPr>
              <w:rFonts w:ascii="宋体" w:hAnsi="宋体"/>
              <w:szCs w:val="24"/>
            </w:rPr>
            <w:t>培养模式</w:t>
          </w:r>
          <w:r>
            <w:tab/>
          </w:r>
          <w:r>
            <w:fldChar w:fldCharType="begin"/>
          </w:r>
          <w:r>
            <w:instrText xml:space="preserve"> PAGEREF _Toc24117 \h </w:instrText>
          </w:r>
          <w:r>
            <w:fldChar w:fldCharType="separate"/>
          </w:r>
          <w:r>
            <w:t>4</w:t>
          </w:r>
          <w:r>
            <w:fldChar w:fldCharType="end"/>
          </w:r>
          <w:r>
            <w:rPr>
              <w:rFonts w:hint="eastAsia" w:ascii="仿宋" w:hAnsi="仿宋" w:eastAsia="仿宋"/>
              <w:bCs/>
              <w:szCs w:val="24"/>
              <w:lang w:val="zh-CN"/>
            </w:rPr>
            <w:fldChar w:fldCharType="end"/>
          </w:r>
        </w:p>
        <w:p w14:paraId="4B60470F">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_Toc3673 </w:instrText>
          </w:r>
          <w:r>
            <w:rPr>
              <w:rFonts w:hint="eastAsia" w:ascii="仿宋" w:hAnsi="仿宋" w:eastAsia="仿宋"/>
              <w:bCs/>
              <w:szCs w:val="24"/>
              <w:lang w:val="zh-CN"/>
            </w:rPr>
            <w:fldChar w:fldCharType="separate"/>
          </w:r>
          <w:r>
            <w:rPr>
              <w:rFonts w:hint="eastAsia" w:ascii="黑体" w:hAnsi="Times New Roman"/>
              <w:szCs w:val="21"/>
              <w:lang w:val="en-US" w:eastAsia="zh-CN"/>
            </w:rPr>
            <w:t>七</w:t>
          </w:r>
          <w:r>
            <w:rPr>
              <w:rFonts w:hint="eastAsia" w:ascii="黑体" w:hAnsi="Times New Roman"/>
              <w:szCs w:val="21"/>
            </w:rPr>
            <w:t>、课程设置与要求</w:t>
          </w:r>
          <w:r>
            <w:tab/>
          </w:r>
          <w:r>
            <w:fldChar w:fldCharType="begin"/>
          </w:r>
          <w:r>
            <w:instrText xml:space="preserve"> PAGEREF _Toc3673 \h </w:instrText>
          </w:r>
          <w:r>
            <w:fldChar w:fldCharType="separate"/>
          </w:r>
          <w:r>
            <w:t>5</w:t>
          </w:r>
          <w:r>
            <w:fldChar w:fldCharType="end"/>
          </w:r>
          <w:r>
            <w:rPr>
              <w:rFonts w:hint="eastAsia" w:ascii="仿宋" w:hAnsi="仿宋" w:eastAsia="仿宋"/>
              <w:bCs/>
              <w:szCs w:val="24"/>
              <w:lang w:val="zh-CN"/>
            </w:rPr>
            <w:fldChar w:fldCharType="end"/>
          </w:r>
        </w:p>
        <w:p w14:paraId="4EBCE09C">
          <w:pPr>
            <w:pStyle w:val="29"/>
            <w:tabs>
              <w:tab w:val="right" w:leader="dot" w:pos="8306"/>
            </w:tabs>
            <w:ind w:firstLine="420" w:firstLineChars="200"/>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_Toc27371 </w:instrText>
          </w:r>
          <w:r>
            <w:rPr>
              <w:rFonts w:hint="eastAsia" w:ascii="仿宋" w:hAnsi="仿宋" w:eastAsia="仿宋"/>
              <w:bCs/>
              <w:szCs w:val="24"/>
              <w:lang w:val="zh-CN"/>
            </w:rPr>
            <w:fldChar w:fldCharType="separate"/>
          </w:r>
          <w:r>
            <w:rPr>
              <w:rFonts w:hint="eastAsia" w:ascii="楷体" w:hAnsi="楷体" w:eastAsia="楷体"/>
              <w:szCs w:val="24"/>
              <w:lang w:val="en-US" w:eastAsia="zh-CN"/>
            </w:rPr>
            <w:t>（一）课程体系</w:t>
          </w:r>
          <w:r>
            <w:tab/>
          </w:r>
          <w:r>
            <w:fldChar w:fldCharType="begin"/>
          </w:r>
          <w:r>
            <w:instrText xml:space="preserve"> PAGEREF _Toc27371 \h </w:instrText>
          </w:r>
          <w:r>
            <w:fldChar w:fldCharType="separate"/>
          </w:r>
          <w:r>
            <w:t>5</w:t>
          </w:r>
          <w:r>
            <w:fldChar w:fldCharType="end"/>
          </w:r>
          <w:r>
            <w:rPr>
              <w:rFonts w:hint="eastAsia" w:ascii="仿宋" w:hAnsi="仿宋" w:eastAsia="仿宋"/>
              <w:bCs/>
              <w:szCs w:val="24"/>
              <w:lang w:val="zh-CN"/>
            </w:rPr>
            <w:fldChar w:fldCharType="end"/>
          </w:r>
        </w:p>
        <w:p w14:paraId="15389FD9">
          <w:pPr>
            <w:pStyle w:val="29"/>
            <w:tabs>
              <w:tab w:val="right" w:leader="dot" w:pos="8306"/>
            </w:tabs>
            <w:ind w:firstLine="420" w:firstLineChars="200"/>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_Toc9663 </w:instrText>
          </w:r>
          <w:r>
            <w:rPr>
              <w:rFonts w:hint="eastAsia" w:ascii="仿宋" w:hAnsi="仿宋" w:eastAsia="仿宋"/>
              <w:bCs/>
              <w:szCs w:val="24"/>
              <w:lang w:val="zh-CN"/>
            </w:rPr>
            <w:fldChar w:fldCharType="separate"/>
          </w:r>
          <w:r>
            <w:rPr>
              <w:rFonts w:hint="eastAsia" w:ascii="楷体" w:hAnsi="楷体" w:eastAsia="楷体"/>
              <w:szCs w:val="24"/>
              <w:lang w:val="en-US" w:eastAsia="zh-CN"/>
            </w:rPr>
            <w:t>（二）课程设置</w:t>
          </w:r>
          <w:r>
            <w:tab/>
          </w:r>
          <w:r>
            <w:fldChar w:fldCharType="begin"/>
          </w:r>
          <w:r>
            <w:instrText xml:space="preserve"> PAGEREF _Toc9663 \h </w:instrText>
          </w:r>
          <w:r>
            <w:fldChar w:fldCharType="separate"/>
          </w:r>
          <w:r>
            <w:t>6</w:t>
          </w:r>
          <w:r>
            <w:fldChar w:fldCharType="end"/>
          </w:r>
          <w:r>
            <w:rPr>
              <w:rFonts w:hint="eastAsia" w:ascii="仿宋" w:hAnsi="仿宋" w:eastAsia="仿宋"/>
              <w:bCs/>
              <w:szCs w:val="24"/>
              <w:lang w:val="zh-CN"/>
            </w:rPr>
            <w:fldChar w:fldCharType="end"/>
          </w:r>
        </w:p>
        <w:p w14:paraId="302E35EE">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_Toc18519 </w:instrText>
          </w:r>
          <w:r>
            <w:rPr>
              <w:rFonts w:hint="eastAsia" w:ascii="仿宋" w:hAnsi="仿宋" w:eastAsia="仿宋"/>
              <w:bCs/>
              <w:szCs w:val="24"/>
              <w:lang w:val="zh-CN"/>
            </w:rPr>
            <w:fldChar w:fldCharType="separate"/>
          </w:r>
          <w:r>
            <w:rPr>
              <w:rFonts w:hint="eastAsia" w:ascii="黑体" w:hAnsi="Times New Roman"/>
              <w:szCs w:val="21"/>
            </w:rPr>
            <w:t>八、</w:t>
          </w:r>
          <w:r>
            <w:rPr>
              <w:rFonts w:ascii="黑体" w:hAnsi="Times New Roman"/>
              <w:szCs w:val="21"/>
            </w:rPr>
            <w:t>教学进程</w:t>
          </w:r>
          <w:r>
            <w:rPr>
              <w:rFonts w:hint="eastAsia" w:ascii="黑体" w:hAnsi="Times New Roman"/>
              <w:szCs w:val="21"/>
            </w:rPr>
            <w:t>总体</w:t>
          </w:r>
          <w:r>
            <w:rPr>
              <w:rFonts w:ascii="黑体" w:hAnsi="Times New Roman"/>
              <w:szCs w:val="21"/>
            </w:rPr>
            <w:t>安排</w:t>
          </w:r>
          <w:r>
            <w:tab/>
          </w:r>
          <w:r>
            <w:fldChar w:fldCharType="begin"/>
          </w:r>
          <w:r>
            <w:instrText xml:space="preserve"> PAGEREF _Toc18519 \h </w:instrText>
          </w:r>
          <w:r>
            <w:fldChar w:fldCharType="separate"/>
          </w:r>
          <w:r>
            <w:t>17</w:t>
          </w:r>
          <w:r>
            <w:fldChar w:fldCharType="end"/>
          </w:r>
          <w:r>
            <w:rPr>
              <w:rFonts w:hint="eastAsia" w:ascii="仿宋" w:hAnsi="仿宋" w:eastAsia="仿宋"/>
              <w:bCs/>
              <w:szCs w:val="24"/>
              <w:lang w:val="zh-CN"/>
            </w:rPr>
            <w:fldChar w:fldCharType="end"/>
          </w:r>
        </w:p>
        <w:p w14:paraId="2429CE4E">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_Toc22852 </w:instrText>
          </w:r>
          <w:r>
            <w:rPr>
              <w:rFonts w:hint="eastAsia" w:ascii="仿宋" w:hAnsi="仿宋" w:eastAsia="仿宋"/>
              <w:bCs/>
              <w:szCs w:val="24"/>
              <w:lang w:val="zh-CN"/>
            </w:rPr>
            <w:fldChar w:fldCharType="separate"/>
          </w:r>
          <w:r>
            <w:rPr>
              <w:rFonts w:hint="eastAsia" w:ascii="楷体" w:hAnsi="楷体" w:eastAsia="楷体"/>
              <w:szCs w:val="24"/>
            </w:rPr>
            <w:t>（一）教学时间安排</w:t>
          </w:r>
          <w:r>
            <w:tab/>
          </w:r>
          <w:r>
            <w:fldChar w:fldCharType="begin"/>
          </w:r>
          <w:r>
            <w:instrText xml:space="preserve"> PAGEREF _Toc22852 \h </w:instrText>
          </w:r>
          <w:r>
            <w:fldChar w:fldCharType="separate"/>
          </w:r>
          <w:r>
            <w:t>17</w:t>
          </w:r>
          <w:r>
            <w:fldChar w:fldCharType="end"/>
          </w:r>
          <w:r>
            <w:rPr>
              <w:rFonts w:hint="eastAsia" w:ascii="仿宋" w:hAnsi="仿宋" w:eastAsia="仿宋"/>
              <w:bCs/>
              <w:szCs w:val="24"/>
              <w:lang w:val="zh-CN"/>
            </w:rPr>
            <w:fldChar w:fldCharType="end"/>
          </w:r>
        </w:p>
        <w:p w14:paraId="031FC432">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_Toc9872 </w:instrText>
          </w:r>
          <w:r>
            <w:rPr>
              <w:rFonts w:hint="eastAsia" w:ascii="仿宋" w:hAnsi="仿宋" w:eastAsia="仿宋"/>
              <w:bCs/>
              <w:szCs w:val="24"/>
              <w:lang w:val="zh-CN"/>
            </w:rPr>
            <w:fldChar w:fldCharType="separate"/>
          </w:r>
          <w:r>
            <w:rPr>
              <w:rFonts w:hint="eastAsia" w:ascii="楷体" w:hAnsi="楷体" w:eastAsia="楷体"/>
              <w:szCs w:val="24"/>
            </w:rPr>
            <w:t>（二）教学进程总体安排表</w:t>
          </w:r>
          <w:r>
            <w:tab/>
          </w:r>
          <w:r>
            <w:fldChar w:fldCharType="begin"/>
          </w:r>
          <w:r>
            <w:instrText xml:space="preserve"> PAGEREF _Toc9872 \h </w:instrText>
          </w:r>
          <w:r>
            <w:fldChar w:fldCharType="separate"/>
          </w:r>
          <w:r>
            <w:t>18</w:t>
          </w:r>
          <w:r>
            <w:fldChar w:fldCharType="end"/>
          </w:r>
          <w:r>
            <w:rPr>
              <w:rFonts w:hint="eastAsia" w:ascii="仿宋" w:hAnsi="仿宋" w:eastAsia="仿宋"/>
              <w:bCs/>
              <w:szCs w:val="24"/>
              <w:lang w:val="zh-CN"/>
            </w:rPr>
            <w:fldChar w:fldCharType="end"/>
          </w:r>
        </w:p>
        <w:p w14:paraId="63587559">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_Toc16357 </w:instrText>
          </w:r>
          <w:r>
            <w:rPr>
              <w:rFonts w:hint="eastAsia" w:ascii="仿宋" w:hAnsi="仿宋" w:eastAsia="仿宋"/>
              <w:bCs/>
              <w:szCs w:val="24"/>
              <w:lang w:val="zh-CN"/>
            </w:rPr>
            <w:fldChar w:fldCharType="separate"/>
          </w:r>
          <w:r>
            <w:rPr>
              <w:rFonts w:hint="eastAsia" w:ascii="黑体" w:hAnsi="Times New Roman"/>
              <w:szCs w:val="21"/>
            </w:rPr>
            <w:t>九、实施保障</w:t>
          </w:r>
          <w:r>
            <w:tab/>
          </w:r>
          <w:r>
            <w:fldChar w:fldCharType="begin"/>
          </w:r>
          <w:r>
            <w:instrText xml:space="preserve"> PAGEREF _Toc16357 \h </w:instrText>
          </w:r>
          <w:r>
            <w:fldChar w:fldCharType="separate"/>
          </w:r>
          <w:r>
            <w:t>20</w:t>
          </w:r>
          <w:r>
            <w:fldChar w:fldCharType="end"/>
          </w:r>
          <w:r>
            <w:rPr>
              <w:rFonts w:hint="eastAsia" w:ascii="仿宋" w:hAnsi="仿宋" w:eastAsia="仿宋"/>
              <w:bCs/>
              <w:szCs w:val="24"/>
              <w:lang w:val="zh-CN"/>
            </w:rPr>
            <w:fldChar w:fldCharType="end"/>
          </w:r>
        </w:p>
        <w:p w14:paraId="609E98B3">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_Toc11238 </w:instrText>
          </w:r>
          <w:r>
            <w:rPr>
              <w:rFonts w:hint="eastAsia" w:ascii="仿宋" w:hAnsi="仿宋" w:eastAsia="仿宋"/>
              <w:bCs/>
              <w:szCs w:val="24"/>
              <w:lang w:val="zh-CN"/>
            </w:rPr>
            <w:fldChar w:fldCharType="separate"/>
          </w:r>
          <w:r>
            <w:rPr>
              <w:rFonts w:hint="eastAsia" w:ascii="楷体" w:hAnsi="楷体" w:eastAsia="楷体"/>
              <w:bCs/>
              <w:szCs w:val="24"/>
            </w:rPr>
            <w:t>（一）师资队伍</w:t>
          </w:r>
          <w:r>
            <w:tab/>
          </w:r>
          <w:r>
            <w:fldChar w:fldCharType="begin"/>
          </w:r>
          <w:r>
            <w:instrText xml:space="preserve"> PAGEREF _Toc11238 \h </w:instrText>
          </w:r>
          <w:r>
            <w:fldChar w:fldCharType="separate"/>
          </w:r>
          <w:r>
            <w:t>20</w:t>
          </w:r>
          <w:r>
            <w:fldChar w:fldCharType="end"/>
          </w:r>
          <w:r>
            <w:rPr>
              <w:rFonts w:hint="eastAsia" w:ascii="仿宋" w:hAnsi="仿宋" w:eastAsia="仿宋"/>
              <w:bCs/>
              <w:szCs w:val="24"/>
              <w:lang w:val="zh-CN"/>
            </w:rPr>
            <w:fldChar w:fldCharType="end"/>
          </w:r>
        </w:p>
        <w:p w14:paraId="11ED2A6D">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_Toc19672 </w:instrText>
          </w:r>
          <w:r>
            <w:rPr>
              <w:rFonts w:hint="eastAsia" w:ascii="仿宋" w:hAnsi="仿宋" w:eastAsia="仿宋"/>
              <w:bCs/>
              <w:szCs w:val="24"/>
              <w:lang w:val="zh-CN"/>
            </w:rPr>
            <w:fldChar w:fldCharType="separate"/>
          </w:r>
          <w:r>
            <w:rPr>
              <w:rFonts w:hint="eastAsia" w:ascii="楷体" w:hAnsi="楷体" w:eastAsia="楷体"/>
              <w:bCs/>
              <w:szCs w:val="24"/>
            </w:rPr>
            <w:t>（二）教学设施</w:t>
          </w:r>
          <w:r>
            <w:tab/>
          </w:r>
          <w:r>
            <w:fldChar w:fldCharType="begin"/>
          </w:r>
          <w:r>
            <w:instrText xml:space="preserve"> PAGEREF _Toc19672 \h </w:instrText>
          </w:r>
          <w:r>
            <w:fldChar w:fldCharType="separate"/>
          </w:r>
          <w:r>
            <w:t>20</w:t>
          </w:r>
          <w:r>
            <w:fldChar w:fldCharType="end"/>
          </w:r>
          <w:r>
            <w:rPr>
              <w:rFonts w:hint="eastAsia" w:ascii="仿宋" w:hAnsi="仿宋" w:eastAsia="仿宋"/>
              <w:bCs/>
              <w:szCs w:val="24"/>
              <w:lang w:val="zh-CN"/>
            </w:rPr>
            <w:fldChar w:fldCharType="end"/>
          </w:r>
        </w:p>
        <w:p w14:paraId="4539A48D">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_Toc21587 </w:instrText>
          </w:r>
          <w:r>
            <w:rPr>
              <w:rFonts w:hint="eastAsia" w:ascii="仿宋" w:hAnsi="仿宋" w:eastAsia="仿宋"/>
              <w:bCs/>
              <w:szCs w:val="24"/>
              <w:lang w:val="zh-CN"/>
            </w:rPr>
            <w:fldChar w:fldCharType="separate"/>
          </w:r>
          <w:r>
            <w:rPr>
              <w:rFonts w:hint="eastAsia" w:ascii="楷体" w:hAnsi="楷体" w:eastAsia="楷体"/>
              <w:bCs/>
              <w:szCs w:val="24"/>
            </w:rPr>
            <w:t>（三）教学资源</w:t>
          </w:r>
          <w:r>
            <w:tab/>
          </w:r>
          <w:r>
            <w:fldChar w:fldCharType="begin"/>
          </w:r>
          <w:r>
            <w:instrText xml:space="preserve"> PAGEREF _Toc21587 \h </w:instrText>
          </w:r>
          <w:r>
            <w:fldChar w:fldCharType="separate"/>
          </w:r>
          <w:r>
            <w:t>21</w:t>
          </w:r>
          <w:r>
            <w:fldChar w:fldCharType="end"/>
          </w:r>
          <w:r>
            <w:rPr>
              <w:rFonts w:hint="eastAsia" w:ascii="仿宋" w:hAnsi="仿宋" w:eastAsia="仿宋"/>
              <w:bCs/>
              <w:szCs w:val="24"/>
              <w:lang w:val="zh-CN"/>
            </w:rPr>
            <w:fldChar w:fldCharType="end"/>
          </w:r>
        </w:p>
        <w:p w14:paraId="19D5CC15">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_Toc29530 </w:instrText>
          </w:r>
          <w:r>
            <w:rPr>
              <w:rFonts w:hint="eastAsia" w:ascii="仿宋" w:hAnsi="仿宋" w:eastAsia="仿宋"/>
              <w:bCs/>
              <w:szCs w:val="24"/>
              <w:lang w:val="zh-CN"/>
            </w:rPr>
            <w:fldChar w:fldCharType="separate"/>
          </w:r>
          <w:r>
            <w:rPr>
              <w:rFonts w:hint="eastAsia" w:ascii="楷体" w:hAnsi="楷体" w:eastAsia="楷体"/>
              <w:bCs/>
              <w:szCs w:val="24"/>
            </w:rPr>
            <w:t>（四）教学方法</w:t>
          </w:r>
          <w:r>
            <w:tab/>
          </w:r>
          <w:r>
            <w:fldChar w:fldCharType="begin"/>
          </w:r>
          <w:r>
            <w:instrText xml:space="preserve"> PAGEREF _Toc29530 \h </w:instrText>
          </w:r>
          <w:r>
            <w:fldChar w:fldCharType="separate"/>
          </w:r>
          <w:r>
            <w:t>22</w:t>
          </w:r>
          <w:r>
            <w:fldChar w:fldCharType="end"/>
          </w:r>
          <w:r>
            <w:rPr>
              <w:rFonts w:hint="eastAsia" w:ascii="仿宋" w:hAnsi="仿宋" w:eastAsia="仿宋"/>
              <w:bCs/>
              <w:szCs w:val="24"/>
              <w:lang w:val="zh-CN"/>
            </w:rPr>
            <w:fldChar w:fldCharType="end"/>
          </w:r>
        </w:p>
        <w:p w14:paraId="40364ADC">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_Toc22667 </w:instrText>
          </w:r>
          <w:r>
            <w:rPr>
              <w:rFonts w:hint="eastAsia" w:ascii="仿宋" w:hAnsi="仿宋" w:eastAsia="仿宋"/>
              <w:bCs/>
              <w:szCs w:val="24"/>
              <w:lang w:val="zh-CN"/>
            </w:rPr>
            <w:fldChar w:fldCharType="separate"/>
          </w:r>
          <w:r>
            <w:rPr>
              <w:rFonts w:hint="eastAsia" w:ascii="楷体" w:hAnsi="楷体" w:eastAsia="楷体"/>
              <w:bCs/>
              <w:szCs w:val="24"/>
            </w:rPr>
            <w:t>（五）学习评价</w:t>
          </w:r>
          <w:r>
            <w:tab/>
          </w:r>
          <w:r>
            <w:fldChar w:fldCharType="begin"/>
          </w:r>
          <w:r>
            <w:instrText xml:space="preserve"> PAGEREF _Toc22667 \h </w:instrText>
          </w:r>
          <w:r>
            <w:fldChar w:fldCharType="separate"/>
          </w:r>
          <w:r>
            <w:t>22</w:t>
          </w:r>
          <w:r>
            <w:fldChar w:fldCharType="end"/>
          </w:r>
          <w:r>
            <w:rPr>
              <w:rFonts w:hint="eastAsia" w:ascii="仿宋" w:hAnsi="仿宋" w:eastAsia="仿宋"/>
              <w:bCs/>
              <w:szCs w:val="24"/>
              <w:lang w:val="zh-CN"/>
            </w:rPr>
            <w:fldChar w:fldCharType="end"/>
          </w:r>
        </w:p>
        <w:p w14:paraId="65312D82">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_Toc31258 </w:instrText>
          </w:r>
          <w:r>
            <w:rPr>
              <w:rFonts w:hint="eastAsia" w:ascii="仿宋" w:hAnsi="仿宋" w:eastAsia="仿宋"/>
              <w:bCs/>
              <w:szCs w:val="24"/>
              <w:lang w:val="zh-CN"/>
            </w:rPr>
            <w:fldChar w:fldCharType="separate"/>
          </w:r>
          <w:r>
            <w:rPr>
              <w:rFonts w:hint="eastAsia" w:ascii="楷体" w:hAnsi="楷体" w:eastAsia="楷体"/>
              <w:bCs/>
              <w:szCs w:val="24"/>
            </w:rPr>
            <w:t>（六）质量管理</w:t>
          </w:r>
          <w:r>
            <w:tab/>
          </w:r>
          <w:r>
            <w:fldChar w:fldCharType="begin"/>
          </w:r>
          <w:r>
            <w:instrText xml:space="preserve"> PAGEREF _Toc31258 \h </w:instrText>
          </w:r>
          <w:r>
            <w:fldChar w:fldCharType="separate"/>
          </w:r>
          <w:r>
            <w:t>23</w:t>
          </w:r>
          <w:r>
            <w:fldChar w:fldCharType="end"/>
          </w:r>
          <w:r>
            <w:rPr>
              <w:rFonts w:hint="eastAsia" w:ascii="仿宋" w:hAnsi="仿宋" w:eastAsia="仿宋"/>
              <w:bCs/>
              <w:szCs w:val="24"/>
              <w:lang w:val="zh-CN"/>
            </w:rPr>
            <w:fldChar w:fldCharType="end"/>
          </w:r>
        </w:p>
        <w:p w14:paraId="58A3F946">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_Toc6715 </w:instrText>
          </w:r>
          <w:r>
            <w:rPr>
              <w:rFonts w:hint="eastAsia" w:ascii="仿宋" w:hAnsi="仿宋" w:eastAsia="仿宋"/>
              <w:bCs/>
              <w:szCs w:val="24"/>
              <w:lang w:val="zh-CN"/>
            </w:rPr>
            <w:fldChar w:fldCharType="separate"/>
          </w:r>
          <w:r>
            <w:rPr>
              <w:rFonts w:hint="eastAsia" w:ascii="黑体" w:hAnsi="Times New Roman"/>
              <w:szCs w:val="21"/>
            </w:rPr>
            <w:t>十、</w:t>
          </w:r>
          <w:r>
            <w:rPr>
              <w:rFonts w:ascii="黑体" w:hAnsi="Times New Roman"/>
              <w:szCs w:val="21"/>
            </w:rPr>
            <w:t>毕业要求</w:t>
          </w:r>
          <w:r>
            <w:tab/>
          </w:r>
          <w:r>
            <w:fldChar w:fldCharType="begin"/>
          </w:r>
          <w:r>
            <w:instrText xml:space="preserve"> PAGEREF _Toc6715 \h </w:instrText>
          </w:r>
          <w:r>
            <w:fldChar w:fldCharType="separate"/>
          </w:r>
          <w:r>
            <w:t>23</w:t>
          </w:r>
          <w:r>
            <w:fldChar w:fldCharType="end"/>
          </w:r>
          <w:r>
            <w:rPr>
              <w:rFonts w:hint="eastAsia" w:ascii="仿宋" w:hAnsi="仿宋" w:eastAsia="仿宋"/>
              <w:bCs/>
              <w:szCs w:val="24"/>
              <w:lang w:val="zh-CN"/>
            </w:rPr>
            <w:fldChar w:fldCharType="end"/>
          </w:r>
        </w:p>
        <w:p w14:paraId="2B67E9B5">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_Toc730 </w:instrText>
          </w:r>
          <w:r>
            <w:rPr>
              <w:rFonts w:hint="eastAsia" w:ascii="仿宋" w:hAnsi="仿宋" w:eastAsia="仿宋"/>
              <w:bCs/>
              <w:szCs w:val="24"/>
              <w:lang w:val="zh-CN"/>
            </w:rPr>
            <w:fldChar w:fldCharType="separate"/>
          </w:r>
          <w:r>
            <w:rPr>
              <w:rFonts w:hint="eastAsia" w:ascii="楷体" w:hAnsi="楷体" w:eastAsia="楷体"/>
              <w:szCs w:val="24"/>
            </w:rPr>
            <w:t>（一）学业考核要求</w:t>
          </w:r>
          <w:r>
            <w:tab/>
          </w:r>
          <w:r>
            <w:fldChar w:fldCharType="begin"/>
          </w:r>
          <w:r>
            <w:instrText xml:space="preserve"> PAGEREF _Toc730 \h </w:instrText>
          </w:r>
          <w:r>
            <w:fldChar w:fldCharType="separate"/>
          </w:r>
          <w:r>
            <w:t>23</w:t>
          </w:r>
          <w:r>
            <w:fldChar w:fldCharType="end"/>
          </w:r>
          <w:r>
            <w:rPr>
              <w:rFonts w:hint="eastAsia" w:ascii="仿宋" w:hAnsi="仿宋" w:eastAsia="仿宋"/>
              <w:bCs/>
              <w:szCs w:val="24"/>
              <w:lang w:val="zh-CN"/>
            </w:rPr>
            <w:fldChar w:fldCharType="end"/>
          </w:r>
        </w:p>
        <w:p w14:paraId="0A02E423">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_Toc10149 </w:instrText>
          </w:r>
          <w:r>
            <w:rPr>
              <w:rFonts w:hint="eastAsia" w:ascii="仿宋" w:hAnsi="仿宋" w:eastAsia="仿宋"/>
              <w:bCs/>
              <w:szCs w:val="24"/>
              <w:lang w:val="zh-CN"/>
            </w:rPr>
            <w:fldChar w:fldCharType="separate"/>
          </w:r>
          <w:r>
            <w:rPr>
              <w:rFonts w:hint="eastAsia" w:ascii="楷体" w:hAnsi="楷体" w:eastAsia="楷体"/>
              <w:szCs w:val="24"/>
            </w:rPr>
            <w:t>（二）证书考取要求</w:t>
          </w:r>
          <w:r>
            <w:tab/>
          </w:r>
          <w:r>
            <w:fldChar w:fldCharType="begin"/>
          </w:r>
          <w:r>
            <w:instrText xml:space="preserve"> PAGEREF _Toc10149 \h </w:instrText>
          </w:r>
          <w:r>
            <w:fldChar w:fldCharType="separate"/>
          </w:r>
          <w:r>
            <w:t>23</w:t>
          </w:r>
          <w:r>
            <w:fldChar w:fldCharType="end"/>
          </w:r>
          <w:r>
            <w:rPr>
              <w:rFonts w:hint="eastAsia" w:ascii="仿宋" w:hAnsi="仿宋" w:eastAsia="仿宋"/>
              <w:bCs/>
              <w:szCs w:val="24"/>
              <w:lang w:val="zh-CN"/>
            </w:rPr>
            <w:fldChar w:fldCharType="end"/>
          </w:r>
        </w:p>
        <w:p w14:paraId="1BFEBB45">
          <w:pPr>
            <w:pStyle w:val="34"/>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_Toc12350 </w:instrText>
          </w:r>
          <w:r>
            <w:rPr>
              <w:rFonts w:hint="eastAsia" w:ascii="仿宋" w:hAnsi="仿宋" w:eastAsia="仿宋"/>
              <w:bCs/>
              <w:szCs w:val="24"/>
              <w:lang w:val="zh-CN"/>
            </w:rPr>
            <w:fldChar w:fldCharType="separate"/>
          </w:r>
          <w:r>
            <w:rPr>
              <w:rFonts w:hint="eastAsia" w:ascii="楷体" w:hAnsi="楷体" w:eastAsia="楷体"/>
              <w:szCs w:val="24"/>
            </w:rPr>
            <w:t>（三）继续专业学习深造建议</w:t>
          </w:r>
          <w:r>
            <w:tab/>
          </w:r>
          <w:r>
            <w:fldChar w:fldCharType="begin"/>
          </w:r>
          <w:r>
            <w:instrText xml:space="preserve"> PAGEREF _Toc12350 \h </w:instrText>
          </w:r>
          <w:r>
            <w:fldChar w:fldCharType="separate"/>
          </w:r>
          <w:r>
            <w:t>24</w:t>
          </w:r>
          <w:r>
            <w:fldChar w:fldCharType="end"/>
          </w:r>
          <w:r>
            <w:rPr>
              <w:rFonts w:hint="eastAsia" w:ascii="仿宋" w:hAnsi="仿宋" w:eastAsia="仿宋"/>
              <w:bCs/>
              <w:szCs w:val="24"/>
              <w:lang w:val="zh-CN"/>
            </w:rPr>
            <w:fldChar w:fldCharType="end"/>
          </w:r>
        </w:p>
        <w:p w14:paraId="7026145D">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_Toc14523 </w:instrText>
          </w:r>
          <w:r>
            <w:rPr>
              <w:rFonts w:hint="eastAsia" w:ascii="仿宋" w:hAnsi="仿宋" w:eastAsia="仿宋"/>
              <w:bCs/>
              <w:szCs w:val="24"/>
              <w:lang w:val="zh-CN"/>
            </w:rPr>
            <w:fldChar w:fldCharType="separate"/>
          </w:r>
          <w:r>
            <w:rPr>
              <w:rFonts w:hint="eastAsia" w:ascii="黑体" w:hAnsi="黑体" w:eastAsia="黑体"/>
              <w:szCs w:val="24"/>
            </w:rPr>
            <w:t>附件：1.</w:t>
          </w:r>
          <w:r>
            <w:rPr>
              <w:rFonts w:hint="eastAsia" w:ascii="黑体" w:hAnsi="黑体" w:eastAsia="黑体"/>
              <w:szCs w:val="24"/>
              <w:lang w:val="en-US" w:eastAsia="zh-CN"/>
            </w:rPr>
            <w:t>师资配备标准</w:t>
          </w:r>
          <w:r>
            <w:tab/>
          </w:r>
          <w:r>
            <w:fldChar w:fldCharType="begin"/>
          </w:r>
          <w:r>
            <w:instrText xml:space="preserve"> PAGEREF _Toc14523 \h </w:instrText>
          </w:r>
          <w:r>
            <w:fldChar w:fldCharType="separate"/>
          </w:r>
          <w:r>
            <w:t>25</w:t>
          </w:r>
          <w:r>
            <w:fldChar w:fldCharType="end"/>
          </w:r>
          <w:r>
            <w:rPr>
              <w:rFonts w:hint="eastAsia" w:ascii="仿宋" w:hAnsi="仿宋" w:eastAsia="仿宋"/>
              <w:bCs/>
              <w:szCs w:val="24"/>
              <w:lang w:val="zh-CN"/>
            </w:rPr>
            <w:fldChar w:fldCharType="end"/>
          </w:r>
        </w:p>
        <w:p w14:paraId="5934462B">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_Toc23137 </w:instrText>
          </w:r>
          <w:r>
            <w:rPr>
              <w:rFonts w:hint="eastAsia" w:ascii="仿宋" w:hAnsi="仿宋" w:eastAsia="仿宋"/>
              <w:bCs/>
              <w:szCs w:val="24"/>
              <w:lang w:val="zh-CN"/>
            </w:rPr>
            <w:fldChar w:fldCharType="separate"/>
          </w:r>
          <w:r>
            <w:rPr>
              <w:rFonts w:hint="eastAsia" w:ascii="黑体" w:hAnsi="黑体" w:eastAsia="黑体"/>
              <w:szCs w:val="24"/>
            </w:rPr>
            <w:t>附件：1.</w:t>
          </w:r>
          <w:r>
            <w:rPr>
              <w:rFonts w:hint="eastAsia" w:ascii="黑体" w:hAnsi="黑体" w:eastAsia="黑体"/>
              <w:szCs w:val="24"/>
              <w:lang w:val="en-US" w:eastAsia="zh-CN"/>
            </w:rPr>
            <w:t>实训室实训设备配备标准</w:t>
          </w:r>
          <w:r>
            <w:tab/>
          </w:r>
          <w:r>
            <w:fldChar w:fldCharType="begin"/>
          </w:r>
          <w:r>
            <w:instrText xml:space="preserve"> PAGEREF _Toc23137 \h </w:instrText>
          </w:r>
          <w:r>
            <w:fldChar w:fldCharType="separate"/>
          </w:r>
          <w:r>
            <w:t>27</w:t>
          </w:r>
          <w:r>
            <w:fldChar w:fldCharType="end"/>
          </w:r>
          <w:r>
            <w:rPr>
              <w:rFonts w:hint="eastAsia" w:ascii="仿宋" w:hAnsi="仿宋" w:eastAsia="仿宋"/>
              <w:bCs/>
              <w:szCs w:val="24"/>
              <w:lang w:val="zh-CN"/>
            </w:rPr>
            <w:fldChar w:fldCharType="end"/>
          </w:r>
        </w:p>
        <w:p w14:paraId="5C0EFFBD">
          <w:pPr>
            <w:pStyle w:val="29"/>
            <w:tabs>
              <w:tab w:val="right" w:leader="dot" w:pos="8306"/>
            </w:tabs>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_Toc24710 </w:instrText>
          </w:r>
          <w:r>
            <w:rPr>
              <w:rFonts w:hint="eastAsia" w:ascii="仿宋" w:hAnsi="仿宋" w:eastAsia="仿宋"/>
              <w:bCs/>
              <w:szCs w:val="24"/>
              <w:lang w:val="zh-CN"/>
            </w:rPr>
            <w:fldChar w:fldCharType="separate"/>
          </w:r>
          <w:r>
            <w:rPr>
              <w:rFonts w:hint="eastAsia" w:ascii="黑体" w:hAnsi="黑体" w:eastAsia="黑体"/>
              <w:szCs w:val="24"/>
            </w:rPr>
            <w:t>附件：</w:t>
          </w:r>
          <w:r>
            <w:rPr>
              <w:rFonts w:hint="eastAsia" w:ascii="黑体" w:hAnsi="黑体" w:eastAsia="黑体"/>
              <w:szCs w:val="24"/>
              <w:lang w:val="en-US" w:eastAsia="zh-CN"/>
            </w:rPr>
            <w:t>3</w:t>
          </w:r>
          <w:r>
            <w:rPr>
              <w:rFonts w:hint="eastAsia" w:ascii="黑体" w:hAnsi="黑体" w:eastAsia="黑体"/>
              <w:szCs w:val="24"/>
            </w:rPr>
            <w:t>.</w:t>
          </w:r>
          <w:r>
            <w:rPr>
              <w:rFonts w:hint="eastAsia" w:ascii="黑体" w:hAnsi="黑体" w:eastAsia="黑体"/>
              <w:szCs w:val="24"/>
              <w:lang w:val="en-US" w:eastAsia="zh-CN"/>
            </w:rPr>
            <w:t>调研报告</w:t>
          </w:r>
          <w:r>
            <w:tab/>
          </w:r>
          <w:r>
            <w:fldChar w:fldCharType="begin"/>
          </w:r>
          <w:r>
            <w:instrText xml:space="preserve"> PAGEREF _Toc24710 \h </w:instrText>
          </w:r>
          <w:r>
            <w:fldChar w:fldCharType="separate"/>
          </w:r>
          <w:r>
            <w:t>29</w:t>
          </w:r>
          <w:r>
            <w:fldChar w:fldCharType="end"/>
          </w:r>
          <w:r>
            <w:rPr>
              <w:rFonts w:hint="eastAsia" w:ascii="仿宋" w:hAnsi="仿宋" w:eastAsia="仿宋"/>
              <w:bCs/>
              <w:szCs w:val="24"/>
              <w:lang w:val="zh-CN"/>
            </w:rPr>
            <w:fldChar w:fldCharType="end"/>
          </w:r>
        </w:p>
        <w:p w14:paraId="6431B323">
          <w:pPr>
            <w:pStyle w:val="29"/>
            <w:tabs>
              <w:tab w:val="right" w:leader="dot" w:pos="8306"/>
            </w:tabs>
            <w:rPr>
              <w:rFonts w:ascii="仿宋" w:hAnsi="仿宋" w:eastAsia="仿宋"/>
              <w:sz w:val="24"/>
              <w:szCs w:val="24"/>
            </w:rPr>
          </w:pPr>
          <w:r>
            <w:rPr>
              <w:rFonts w:hint="eastAsia" w:ascii="仿宋" w:hAnsi="仿宋" w:eastAsia="仿宋"/>
              <w:bCs/>
              <w:szCs w:val="24"/>
              <w:lang w:val="zh-CN"/>
            </w:rPr>
            <w:fldChar w:fldCharType="begin"/>
          </w:r>
          <w:r>
            <w:rPr>
              <w:rFonts w:hint="eastAsia" w:ascii="仿宋" w:hAnsi="仿宋" w:eastAsia="仿宋"/>
              <w:bCs/>
              <w:szCs w:val="24"/>
              <w:lang w:val="zh-CN"/>
            </w:rPr>
            <w:instrText xml:space="preserve"> HYPERLINK \l _Toc14458 </w:instrText>
          </w:r>
          <w:r>
            <w:rPr>
              <w:rFonts w:hint="eastAsia" w:ascii="仿宋" w:hAnsi="仿宋" w:eastAsia="仿宋"/>
              <w:bCs/>
              <w:szCs w:val="24"/>
              <w:lang w:val="zh-CN"/>
            </w:rPr>
            <w:fldChar w:fldCharType="separate"/>
          </w:r>
          <w:r>
            <w:rPr>
              <w:rFonts w:hint="eastAsia" w:ascii="黑体" w:hAnsi="黑体" w:eastAsia="黑体"/>
              <w:szCs w:val="24"/>
            </w:rPr>
            <w:t>附件：</w:t>
          </w:r>
          <w:r>
            <w:rPr>
              <w:rFonts w:hint="eastAsia" w:ascii="黑体" w:hAnsi="黑体" w:eastAsia="黑体"/>
              <w:szCs w:val="24"/>
              <w:lang w:val="en-US" w:eastAsia="zh-CN"/>
            </w:rPr>
            <w:t>4</w:t>
          </w:r>
          <w:r>
            <w:rPr>
              <w:rFonts w:hint="eastAsia" w:ascii="黑体" w:hAnsi="黑体" w:eastAsia="黑体"/>
              <w:szCs w:val="24"/>
            </w:rPr>
            <w:t>.课程标准</w:t>
          </w:r>
          <w:r>
            <w:tab/>
          </w:r>
          <w:r>
            <w:fldChar w:fldCharType="begin"/>
          </w:r>
          <w:r>
            <w:instrText xml:space="preserve"> PAGEREF _Toc14458 \h </w:instrText>
          </w:r>
          <w:r>
            <w:fldChar w:fldCharType="separate"/>
          </w:r>
          <w:r>
            <w:t>39</w:t>
          </w:r>
          <w:r>
            <w:fldChar w:fldCharType="end"/>
          </w:r>
          <w:r>
            <w:rPr>
              <w:rFonts w:hint="eastAsia" w:ascii="仿宋" w:hAnsi="仿宋" w:eastAsia="仿宋"/>
              <w:bCs/>
              <w:szCs w:val="24"/>
              <w:lang w:val="zh-CN"/>
            </w:rPr>
            <w:fldChar w:fldCharType="end"/>
          </w:r>
          <w:r>
            <w:rPr>
              <w:rFonts w:hint="eastAsia" w:ascii="仿宋" w:hAnsi="仿宋" w:eastAsia="仿宋"/>
              <w:bCs/>
              <w:szCs w:val="24"/>
              <w:lang w:val="zh-CN"/>
            </w:rPr>
            <w:fldChar w:fldCharType="end"/>
          </w:r>
        </w:p>
      </w:sdtContent>
    </w:sdt>
    <w:p w14:paraId="42A0FA5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Times New Roman" w:hAnsi="Times New Roman" w:eastAsia="方正小标宋简体" w:cs="Times New Roman"/>
          <w:sz w:val="36"/>
          <w:szCs w:val="36"/>
        </w:rPr>
      </w:pPr>
    </w:p>
    <w:p w14:paraId="32DD8821">
      <w:pPr>
        <w:widowControl/>
        <w:jc w:val="left"/>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br w:type="page"/>
      </w:r>
    </w:p>
    <w:p w14:paraId="4BF2F143">
      <w:pPr>
        <w:overflowPunct w:val="0"/>
        <w:snapToGrid w:val="0"/>
        <w:spacing w:line="500" w:lineRule="atLeast"/>
        <w:jc w:val="center"/>
        <w:rPr>
          <w:rFonts w:ascii="Times New Roman" w:hAnsi="Times New Roman" w:eastAsia="方正小标宋简体" w:cs="Times New Roman"/>
          <w:sz w:val="36"/>
          <w:szCs w:val="36"/>
        </w:rPr>
        <w:sectPr>
          <w:pgSz w:w="11906" w:h="16838"/>
          <w:pgMar w:top="1440" w:right="1800" w:bottom="1440" w:left="1800" w:header="851" w:footer="992" w:gutter="0"/>
          <w:cols w:space="425" w:num="1"/>
          <w:docGrid w:type="lines" w:linePitch="312" w:charSpace="0"/>
        </w:sectPr>
      </w:pPr>
    </w:p>
    <w:p w14:paraId="66EDF3CA">
      <w:pPr>
        <w:overflowPunct w:val="0"/>
        <w:snapToGrid w:val="0"/>
        <w:spacing w:line="500" w:lineRule="atLeast"/>
        <w:jc w:val="center"/>
        <w:rPr>
          <w:rFonts w:ascii="方正小标宋简体" w:hAnsi="Times New Roman" w:eastAsia="方正小标宋简体" w:cs="Times New Roman"/>
          <w:sz w:val="32"/>
          <w:szCs w:val="36"/>
        </w:rPr>
      </w:pPr>
      <w:r>
        <w:rPr>
          <w:rFonts w:hint="eastAsia" w:ascii="方正小标宋简体" w:hAnsi="方正小标宋简体" w:eastAsia="方正小标宋简体" w:cs="方正小标宋简体"/>
          <w:sz w:val="32"/>
          <w:szCs w:val="32"/>
        </w:rPr>
        <w:t>会计事务</w:t>
      </w:r>
      <w:r>
        <w:rPr>
          <w:rFonts w:hint="eastAsia" w:ascii="方正小标宋简体" w:hAnsi="Times New Roman" w:eastAsia="方正小标宋简体" w:cs="Times New Roman"/>
          <w:sz w:val="32"/>
          <w:szCs w:val="36"/>
        </w:rPr>
        <w:t>专业人才培养方案</w:t>
      </w:r>
    </w:p>
    <w:p w14:paraId="113D511D"/>
    <w:p w14:paraId="01863009">
      <w:pPr>
        <w:pStyle w:val="3"/>
        <w:snapToGrid w:val="0"/>
        <w:spacing w:before="0" w:after="0" w:line="400" w:lineRule="exact"/>
        <w:ind w:firstLine="480" w:firstLineChars="200"/>
        <w:jc w:val="both"/>
        <w:rPr>
          <w:rFonts w:ascii="黑体" w:hAnsi="Times New Roman"/>
          <w:sz w:val="24"/>
          <w:szCs w:val="21"/>
        </w:rPr>
      </w:pPr>
      <w:bookmarkStart w:id="0" w:name="_Toc530755368"/>
      <w:bookmarkStart w:id="1" w:name="_Toc15318"/>
      <w:r>
        <w:rPr>
          <w:rFonts w:hint="eastAsia" w:ascii="黑体" w:hAnsi="Times New Roman"/>
          <w:sz w:val="24"/>
          <w:szCs w:val="21"/>
        </w:rPr>
        <w:t>一、专业名称及代码</w:t>
      </w:r>
      <w:bookmarkEnd w:id="0"/>
      <w:bookmarkEnd w:id="1"/>
    </w:p>
    <w:p w14:paraId="4D9DE9D8">
      <w:pPr>
        <w:spacing w:line="400" w:lineRule="exact"/>
        <w:ind w:firstLine="480" w:firstLineChars="200"/>
        <w:rPr>
          <w:rFonts w:ascii="楷体_GB2312" w:hAnsi="黑体" w:eastAsia="楷体_GB2312"/>
          <w:sz w:val="24"/>
          <w:szCs w:val="24"/>
        </w:rPr>
      </w:pPr>
      <w:r>
        <w:rPr>
          <w:rFonts w:hint="eastAsia" w:ascii="楷体_GB2312" w:hAnsi="黑体" w:eastAsia="楷体_GB2312"/>
          <w:sz w:val="24"/>
          <w:szCs w:val="24"/>
        </w:rPr>
        <w:t>（一）专业名称</w:t>
      </w:r>
    </w:p>
    <w:p w14:paraId="47600E84">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会计事务专业</w:t>
      </w:r>
    </w:p>
    <w:p w14:paraId="13344245">
      <w:pPr>
        <w:spacing w:line="400" w:lineRule="exact"/>
        <w:ind w:firstLine="480" w:firstLineChars="200"/>
        <w:rPr>
          <w:rFonts w:ascii="楷体_GB2312" w:hAnsi="黑体" w:eastAsia="楷体_GB2312"/>
          <w:sz w:val="24"/>
          <w:szCs w:val="24"/>
        </w:rPr>
      </w:pPr>
      <w:r>
        <w:rPr>
          <w:rFonts w:ascii="楷体_GB2312" w:hAnsi="黑体" w:eastAsia="楷体_GB2312"/>
          <w:sz w:val="24"/>
          <w:szCs w:val="24"/>
        </w:rPr>
        <w:t>（二）专业代码</w:t>
      </w:r>
    </w:p>
    <w:p w14:paraId="3E009D93">
      <w:pPr>
        <w:spacing w:line="400" w:lineRule="exact"/>
        <w:ind w:firstLine="480" w:firstLineChars="200"/>
      </w:pPr>
      <w:r>
        <w:rPr>
          <w:rFonts w:hint="eastAsia" w:ascii="仿宋_GB2312" w:hAnsi="黑体" w:eastAsia="仿宋_GB2312"/>
          <w:sz w:val="24"/>
          <w:szCs w:val="24"/>
        </w:rPr>
        <w:t>730301</w:t>
      </w:r>
    </w:p>
    <w:p w14:paraId="765786AC">
      <w:pPr>
        <w:pStyle w:val="3"/>
        <w:snapToGrid w:val="0"/>
        <w:spacing w:before="0" w:after="0" w:line="400" w:lineRule="exact"/>
        <w:ind w:firstLine="480" w:firstLineChars="200"/>
        <w:jc w:val="both"/>
        <w:rPr>
          <w:rFonts w:ascii="黑体" w:hAnsi="Times New Roman"/>
          <w:sz w:val="24"/>
          <w:szCs w:val="21"/>
        </w:rPr>
      </w:pPr>
      <w:bookmarkStart w:id="2" w:name="_Toc530755369"/>
      <w:bookmarkStart w:id="3" w:name="_Toc21188"/>
      <w:r>
        <w:rPr>
          <w:rFonts w:hint="eastAsia" w:ascii="黑体" w:hAnsi="Times New Roman"/>
          <w:sz w:val="24"/>
          <w:szCs w:val="21"/>
        </w:rPr>
        <w:t>二、入学要求</w:t>
      </w:r>
      <w:bookmarkEnd w:id="2"/>
      <w:bookmarkEnd w:id="3"/>
    </w:p>
    <w:p w14:paraId="32289763">
      <w:pPr>
        <w:spacing w:line="400" w:lineRule="exact"/>
        <w:ind w:firstLine="480" w:firstLineChars="200"/>
        <w:rPr>
          <w:rFonts w:ascii="仿宋_GB2312" w:hAnsi="黑体" w:eastAsia="仿宋_GB2312"/>
          <w:sz w:val="24"/>
          <w:szCs w:val="24"/>
        </w:rPr>
      </w:pPr>
      <w:bookmarkStart w:id="4" w:name="_Toc530755370"/>
      <w:r>
        <w:rPr>
          <w:rFonts w:hint="eastAsia" w:ascii="仿宋_GB2312" w:hAnsi="黑体" w:eastAsia="仿宋_GB2312"/>
          <w:sz w:val="24"/>
          <w:szCs w:val="24"/>
        </w:rPr>
        <w:t>本专业招收</w:t>
      </w:r>
      <w:r>
        <w:rPr>
          <w:rFonts w:ascii="仿宋_GB2312" w:hAnsi="黑体" w:eastAsia="仿宋_GB2312"/>
          <w:sz w:val="24"/>
          <w:szCs w:val="24"/>
        </w:rPr>
        <w:t>初级中学毕业生或具备同等学力者。</w:t>
      </w:r>
    </w:p>
    <w:p w14:paraId="40BE3BD8">
      <w:pPr>
        <w:pStyle w:val="3"/>
        <w:snapToGrid w:val="0"/>
        <w:spacing w:before="0" w:after="0" w:line="400" w:lineRule="exact"/>
        <w:ind w:firstLine="480" w:firstLineChars="200"/>
        <w:jc w:val="both"/>
        <w:rPr>
          <w:rFonts w:ascii="黑体" w:hAnsi="Times New Roman"/>
          <w:sz w:val="24"/>
          <w:szCs w:val="21"/>
        </w:rPr>
      </w:pPr>
      <w:bookmarkStart w:id="5" w:name="_Toc29894"/>
      <w:r>
        <w:rPr>
          <w:rFonts w:hint="eastAsia" w:ascii="黑体" w:hAnsi="Times New Roman"/>
          <w:sz w:val="24"/>
          <w:szCs w:val="21"/>
        </w:rPr>
        <w:t>三、修业年限</w:t>
      </w:r>
      <w:bookmarkEnd w:id="4"/>
      <w:bookmarkEnd w:id="5"/>
    </w:p>
    <w:p w14:paraId="642CE25C">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三年。</w:t>
      </w:r>
    </w:p>
    <w:p w14:paraId="1EE33F5E">
      <w:pPr>
        <w:pStyle w:val="3"/>
        <w:snapToGrid w:val="0"/>
        <w:spacing w:before="0" w:after="0" w:line="400" w:lineRule="exact"/>
        <w:ind w:firstLine="480" w:firstLineChars="200"/>
        <w:jc w:val="both"/>
        <w:rPr>
          <w:rFonts w:ascii="黑体" w:hAnsi="Times New Roman"/>
          <w:sz w:val="24"/>
          <w:szCs w:val="21"/>
        </w:rPr>
      </w:pPr>
      <w:bookmarkStart w:id="6" w:name="_Toc530755371"/>
      <w:bookmarkStart w:id="7" w:name="_Toc16659"/>
      <w:r>
        <w:rPr>
          <w:rFonts w:hint="eastAsia" w:ascii="黑体" w:hAnsi="Times New Roman"/>
          <w:sz w:val="24"/>
          <w:szCs w:val="21"/>
        </w:rPr>
        <w:t>四、</w:t>
      </w:r>
      <w:r>
        <w:rPr>
          <w:rFonts w:ascii="黑体" w:hAnsi="Times New Roman"/>
          <w:sz w:val="24"/>
          <w:szCs w:val="21"/>
        </w:rPr>
        <w:t>职业面向</w:t>
      </w:r>
      <w:bookmarkEnd w:id="6"/>
      <w:bookmarkEnd w:id="7"/>
    </w:p>
    <w:p w14:paraId="65405DF2">
      <w:pPr>
        <w:spacing w:line="400" w:lineRule="exact"/>
        <w:ind w:firstLine="480" w:firstLineChars="200"/>
        <w:rPr>
          <w:rFonts w:ascii="楷体" w:hAnsi="楷体" w:eastAsia="楷体"/>
          <w:sz w:val="24"/>
          <w:szCs w:val="24"/>
        </w:rPr>
      </w:pPr>
      <w:r>
        <w:rPr>
          <w:rFonts w:hint="eastAsia" w:ascii="楷体" w:hAnsi="楷体" w:eastAsia="楷体"/>
          <w:sz w:val="24"/>
          <w:szCs w:val="24"/>
        </w:rPr>
        <w:t>（一）职业面向</w:t>
      </w:r>
    </w:p>
    <w:p w14:paraId="4F1916F9">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 xml:space="preserve">本专业主要职业面向如表 </w:t>
      </w:r>
      <w:r>
        <w:rPr>
          <w:rFonts w:ascii="仿宋_GB2312" w:hAnsi="黑体" w:eastAsia="仿宋_GB2312"/>
          <w:sz w:val="24"/>
          <w:szCs w:val="24"/>
        </w:rPr>
        <w:t xml:space="preserve">1 </w:t>
      </w:r>
      <w:r>
        <w:rPr>
          <w:rFonts w:hint="eastAsia" w:ascii="仿宋_GB2312" w:hAnsi="黑体" w:eastAsia="仿宋_GB2312"/>
          <w:sz w:val="24"/>
          <w:szCs w:val="24"/>
        </w:rPr>
        <w:t xml:space="preserve">所示。 </w:t>
      </w:r>
    </w:p>
    <w:p w14:paraId="0016E1FA">
      <w:pPr>
        <w:spacing w:line="400" w:lineRule="exact"/>
        <w:jc w:val="center"/>
        <w:rPr>
          <w:rFonts w:ascii="仿宋_GB2312" w:hAnsi="黑体" w:eastAsia="仿宋_GB2312"/>
          <w:sz w:val="24"/>
          <w:szCs w:val="24"/>
        </w:rPr>
      </w:pPr>
      <w:r>
        <w:rPr>
          <w:rFonts w:hint="eastAsia" w:ascii="仿宋_GB2312" w:hAnsi="黑体" w:eastAsia="仿宋_GB2312"/>
          <w:sz w:val="24"/>
          <w:szCs w:val="24"/>
        </w:rPr>
        <w:t>表</w:t>
      </w:r>
      <w:r>
        <w:rPr>
          <w:rFonts w:ascii="仿宋_GB2312" w:hAnsi="黑体" w:eastAsia="仿宋_GB2312"/>
          <w:sz w:val="24"/>
          <w:szCs w:val="24"/>
        </w:rPr>
        <w:t xml:space="preserve">1 </w:t>
      </w:r>
      <w:r>
        <w:rPr>
          <w:rFonts w:hint="eastAsia" w:ascii="仿宋_GB2312" w:hAnsi="黑体" w:eastAsia="仿宋_GB2312"/>
          <w:sz w:val="24"/>
          <w:szCs w:val="24"/>
        </w:rPr>
        <w:t>职业面向</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4899"/>
      </w:tblGrid>
      <w:tr w14:paraId="0EDF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0C320B70">
            <w:pPr>
              <w:pStyle w:val="175"/>
              <w:spacing w:before="89"/>
              <w:jc w:val="both"/>
              <w:rPr>
                <w:rFonts w:cs="仿宋_GB2312" w:asciiTheme="minorEastAsia" w:hAnsiTheme="minorEastAsia"/>
                <w:sz w:val="21"/>
                <w:szCs w:val="21"/>
                <w:lang w:eastAsia="zh-CN"/>
              </w:rPr>
            </w:pPr>
            <w:r>
              <w:rPr>
                <w:rFonts w:cs="仿宋_GB2312" w:asciiTheme="minorEastAsia" w:hAnsiTheme="minorEastAsia"/>
                <w:sz w:val="21"/>
                <w:szCs w:val="21"/>
                <w:lang w:eastAsia="zh-CN"/>
              </w:rPr>
              <w:t>所属专业大类（代码）</w:t>
            </w:r>
          </w:p>
        </w:tc>
        <w:tc>
          <w:tcPr>
            <w:tcW w:w="4899" w:type="dxa"/>
            <w:vAlign w:val="center"/>
          </w:tcPr>
          <w:p w14:paraId="4D2F44AE">
            <w:pPr>
              <w:rPr>
                <w:rFonts w:cs="仿宋_GB2312" w:asciiTheme="minorEastAsia" w:hAnsiTheme="minorEastAsia"/>
                <w:szCs w:val="21"/>
              </w:rPr>
            </w:pPr>
            <w:r>
              <w:rPr>
                <w:rFonts w:hint="eastAsia"/>
              </w:rPr>
              <w:t>73财经商贸类</w:t>
            </w:r>
          </w:p>
        </w:tc>
      </w:tr>
      <w:tr w14:paraId="6C9D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5959A0D4">
            <w:pPr>
              <w:pStyle w:val="175"/>
              <w:spacing w:before="88"/>
              <w:jc w:val="both"/>
              <w:rPr>
                <w:rFonts w:cs="仿宋_GB2312" w:asciiTheme="minorEastAsia" w:hAnsiTheme="minorEastAsia"/>
                <w:sz w:val="21"/>
                <w:szCs w:val="21"/>
                <w:lang w:eastAsia="zh-CN"/>
              </w:rPr>
            </w:pPr>
            <w:r>
              <w:rPr>
                <w:rFonts w:cs="仿宋_GB2312" w:asciiTheme="minorEastAsia" w:hAnsiTheme="minorEastAsia"/>
                <w:sz w:val="21"/>
                <w:szCs w:val="21"/>
                <w:lang w:eastAsia="zh-CN"/>
              </w:rPr>
              <w:t>所属专业类（代码）</w:t>
            </w:r>
          </w:p>
        </w:tc>
        <w:tc>
          <w:tcPr>
            <w:tcW w:w="4899" w:type="dxa"/>
            <w:vAlign w:val="center"/>
          </w:tcPr>
          <w:p w14:paraId="091BD51C">
            <w:pPr>
              <w:rPr>
                <w:rFonts w:cs="仿宋_GB2312" w:asciiTheme="minorEastAsia" w:hAnsiTheme="minorEastAsia"/>
                <w:szCs w:val="21"/>
              </w:rPr>
            </w:pPr>
            <w:r>
              <w:rPr>
                <w:rFonts w:hint="eastAsia"/>
              </w:rPr>
              <w:t>7303财务会计类</w:t>
            </w:r>
          </w:p>
        </w:tc>
      </w:tr>
      <w:tr w14:paraId="3DD8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0814B0E4">
            <w:pPr>
              <w:pStyle w:val="175"/>
              <w:spacing w:before="87"/>
              <w:jc w:val="both"/>
              <w:rPr>
                <w:rFonts w:cs="仿宋_GB2312" w:asciiTheme="minorEastAsia" w:hAnsiTheme="minorEastAsia"/>
                <w:sz w:val="21"/>
                <w:szCs w:val="21"/>
              </w:rPr>
            </w:pPr>
            <w:r>
              <w:rPr>
                <w:rFonts w:cs="仿宋_GB2312" w:asciiTheme="minorEastAsia" w:hAnsiTheme="minorEastAsia"/>
                <w:sz w:val="21"/>
                <w:szCs w:val="21"/>
              </w:rPr>
              <w:t>对应行业（代码）</w:t>
            </w:r>
          </w:p>
        </w:tc>
        <w:tc>
          <w:tcPr>
            <w:tcW w:w="4899" w:type="dxa"/>
            <w:vAlign w:val="center"/>
          </w:tcPr>
          <w:p w14:paraId="64F47C03">
            <w:pPr>
              <w:rPr>
                <w:rFonts w:cs="仿宋_GB2312" w:asciiTheme="minorEastAsia" w:hAnsiTheme="minorEastAsia"/>
                <w:szCs w:val="21"/>
              </w:rPr>
            </w:pPr>
            <w:r>
              <w:rPr>
                <w:rFonts w:hint="eastAsia"/>
              </w:rPr>
              <w:t>会计、审计及税务服务</w:t>
            </w:r>
            <w:r>
              <w:rPr>
                <w:rFonts w:hint="eastAsia" w:cs="Tahoma" w:asciiTheme="minorEastAsia" w:hAnsiTheme="minorEastAsia"/>
                <w:bCs/>
              </w:rPr>
              <w:t>（7241）</w:t>
            </w:r>
          </w:p>
        </w:tc>
      </w:tr>
      <w:tr w14:paraId="0613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46B0B838">
            <w:pPr>
              <w:pStyle w:val="175"/>
              <w:spacing w:before="156"/>
              <w:jc w:val="both"/>
              <w:rPr>
                <w:rFonts w:cs="仿宋_GB2312" w:asciiTheme="minorEastAsia" w:hAnsiTheme="minorEastAsia"/>
                <w:sz w:val="21"/>
                <w:szCs w:val="21"/>
                <w:lang w:eastAsia="zh-CN"/>
              </w:rPr>
            </w:pPr>
            <w:r>
              <w:rPr>
                <w:rFonts w:cs="仿宋_GB2312" w:asciiTheme="minorEastAsia" w:hAnsiTheme="minorEastAsia"/>
                <w:sz w:val="21"/>
                <w:szCs w:val="21"/>
                <w:lang w:eastAsia="zh-CN"/>
              </w:rPr>
              <w:t>主要职业类别（代码）</w:t>
            </w:r>
          </w:p>
        </w:tc>
        <w:tc>
          <w:tcPr>
            <w:tcW w:w="4899" w:type="dxa"/>
            <w:vAlign w:val="center"/>
          </w:tcPr>
          <w:p w14:paraId="776582EA">
            <w:pPr>
              <w:rPr>
                <w:rFonts w:cs="仿宋_GB2312" w:asciiTheme="minorEastAsia" w:hAnsiTheme="minorEastAsia"/>
                <w:szCs w:val="21"/>
              </w:rPr>
            </w:pPr>
            <w:r>
              <w:rPr>
                <w:rFonts w:hint="eastAsia"/>
              </w:rPr>
              <w:t>会计专业人员（2060300）</w:t>
            </w:r>
          </w:p>
        </w:tc>
      </w:tr>
      <w:tr w14:paraId="12F2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02F1DC3D">
            <w:pPr>
              <w:pStyle w:val="175"/>
              <w:spacing w:before="145"/>
              <w:jc w:val="both"/>
              <w:rPr>
                <w:rFonts w:cs="仿宋_GB2312" w:asciiTheme="minorEastAsia" w:hAnsiTheme="minorEastAsia"/>
                <w:sz w:val="21"/>
                <w:szCs w:val="21"/>
                <w:lang w:eastAsia="zh-CN"/>
              </w:rPr>
            </w:pPr>
            <w:r>
              <w:rPr>
                <w:rFonts w:cs="仿宋_GB2312" w:asciiTheme="minorEastAsia" w:hAnsiTheme="minorEastAsia"/>
                <w:sz w:val="21"/>
                <w:szCs w:val="21"/>
                <w:lang w:eastAsia="zh-CN"/>
              </w:rPr>
              <w:t>主要岗位（群）或技术领域举例</w:t>
            </w:r>
            <w:r>
              <w:rPr>
                <w:rFonts w:cs="仿宋_GB2312" w:asciiTheme="minorEastAsia" w:hAnsiTheme="minorEastAsia"/>
                <w:spacing w:val="-60"/>
                <w:sz w:val="21"/>
                <w:szCs w:val="21"/>
                <w:lang w:eastAsia="zh-CN"/>
              </w:rPr>
              <w:t xml:space="preserve"> </w:t>
            </w:r>
          </w:p>
        </w:tc>
        <w:tc>
          <w:tcPr>
            <w:tcW w:w="4899" w:type="dxa"/>
            <w:vAlign w:val="center"/>
          </w:tcPr>
          <w:p w14:paraId="74E67F43">
            <w:pPr>
              <w:rPr>
                <w:rFonts w:asciiTheme="minorEastAsia" w:hAnsiTheme="minorEastAsia"/>
                <w:szCs w:val="21"/>
              </w:rPr>
            </w:pPr>
            <w:r>
              <w:rPr>
                <w:rFonts w:hint="eastAsia"/>
              </w:rPr>
              <w:t>企事业单位会计机构资金管理岗位群、财务会计岗位群、税务管理岗位群、会计代理服务岗位群、财务共享岗位群、财务数字化运维岗位群及财务数据分析技术等</w:t>
            </w:r>
          </w:p>
        </w:tc>
      </w:tr>
      <w:tr w14:paraId="508B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14:paraId="7D06D140">
            <w:pPr>
              <w:pStyle w:val="175"/>
              <w:jc w:val="both"/>
              <w:rPr>
                <w:rFonts w:cs="仿宋_GB2312" w:asciiTheme="minorEastAsia" w:hAnsiTheme="minorEastAsia"/>
                <w:sz w:val="21"/>
                <w:szCs w:val="21"/>
              </w:rPr>
            </w:pPr>
            <w:r>
              <w:rPr>
                <w:rFonts w:cs="仿宋_GB2312" w:asciiTheme="minorEastAsia" w:hAnsiTheme="minorEastAsia"/>
                <w:sz w:val="21"/>
                <w:szCs w:val="21"/>
              </w:rPr>
              <w:t>职业类证书举例</w:t>
            </w:r>
          </w:p>
        </w:tc>
        <w:tc>
          <w:tcPr>
            <w:tcW w:w="4899" w:type="dxa"/>
            <w:vAlign w:val="center"/>
          </w:tcPr>
          <w:p w14:paraId="500358D9">
            <w:r>
              <w:rPr>
                <w:rFonts w:hint="eastAsia"/>
              </w:rPr>
              <w:t>智能财税职业技能等级证书（初级）</w:t>
            </w:r>
          </w:p>
          <w:p w14:paraId="5DD5D8CB">
            <w:r>
              <w:rPr>
                <w:rFonts w:hint="eastAsia"/>
              </w:rPr>
              <w:t>财务共享服务职业技能等级证书（初级）</w:t>
            </w:r>
          </w:p>
          <w:p w14:paraId="6E227045">
            <w:pPr>
              <w:rPr>
                <w:rFonts w:cs="仿宋_GB2312" w:asciiTheme="minorEastAsia" w:hAnsiTheme="minorEastAsia"/>
                <w:szCs w:val="21"/>
              </w:rPr>
            </w:pPr>
            <w:r>
              <w:rPr>
                <w:rFonts w:hint="eastAsia"/>
              </w:rPr>
              <w:t>业财一体化职业技能等级证书（初级）</w:t>
            </w:r>
          </w:p>
        </w:tc>
      </w:tr>
    </w:tbl>
    <w:p w14:paraId="69587604">
      <w:pPr>
        <w:spacing w:line="400" w:lineRule="exact"/>
        <w:ind w:firstLine="480" w:firstLineChars="200"/>
        <w:rPr>
          <w:rFonts w:ascii="楷体" w:hAnsi="楷体" w:eastAsia="楷体"/>
          <w:sz w:val="24"/>
          <w:szCs w:val="24"/>
        </w:rPr>
      </w:pPr>
      <w:r>
        <w:rPr>
          <w:rFonts w:hint="eastAsia" w:ascii="楷体" w:hAnsi="楷体" w:eastAsia="楷体"/>
          <w:sz w:val="24"/>
          <w:szCs w:val="24"/>
        </w:rPr>
        <w:t>（二）职业岗位描述</w:t>
      </w:r>
    </w:p>
    <w:p w14:paraId="1D25549E">
      <w:pPr>
        <w:spacing w:line="400" w:lineRule="exact"/>
        <w:jc w:val="center"/>
        <w:rPr>
          <w:rFonts w:ascii="仿宋_GB2312" w:hAnsi="黑体" w:eastAsia="仿宋_GB2312"/>
          <w:sz w:val="24"/>
          <w:szCs w:val="24"/>
        </w:rPr>
      </w:pPr>
      <w:r>
        <w:rPr>
          <w:rFonts w:hint="eastAsia" w:ascii="仿宋_GB2312" w:hAnsi="黑体" w:eastAsia="仿宋_GB2312"/>
          <w:sz w:val="24"/>
          <w:szCs w:val="24"/>
        </w:rPr>
        <w:t>表</w:t>
      </w:r>
      <w:r>
        <w:rPr>
          <w:rFonts w:ascii="仿宋_GB2312" w:hAnsi="黑体" w:eastAsia="仿宋_GB2312"/>
          <w:sz w:val="24"/>
          <w:szCs w:val="24"/>
        </w:rPr>
        <w:t xml:space="preserve">2 </w:t>
      </w:r>
      <w:r>
        <w:rPr>
          <w:rFonts w:hint="eastAsia" w:ascii="仿宋_GB2312" w:hAnsi="黑体" w:eastAsia="仿宋_GB2312"/>
          <w:sz w:val="24"/>
          <w:szCs w:val="24"/>
        </w:rPr>
        <w:t>会计专业的职业岗位描述</w:t>
      </w:r>
    </w:p>
    <w:tbl>
      <w:tblPr>
        <w:tblStyle w:val="43"/>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33"/>
        <w:gridCol w:w="1701"/>
        <w:gridCol w:w="3739"/>
        <w:gridCol w:w="1463"/>
      </w:tblGrid>
      <w:tr w14:paraId="39A2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0" w:hRule="atLeast"/>
          <w:tblHeader/>
          <w:jc w:val="center"/>
        </w:trPr>
        <w:tc>
          <w:tcPr>
            <w:tcW w:w="1433" w:type="dxa"/>
            <w:vAlign w:val="center"/>
          </w:tcPr>
          <w:p w14:paraId="03FE3CDB">
            <w:pPr>
              <w:jc w:val="center"/>
              <w:rPr>
                <w:rFonts w:asciiTheme="minorEastAsia" w:hAnsiTheme="minorEastAsia"/>
                <w:b/>
                <w:szCs w:val="21"/>
              </w:rPr>
            </w:pPr>
            <w:bookmarkStart w:id="8" w:name="_Hlk109221333"/>
            <w:r>
              <w:rPr>
                <w:rFonts w:hint="eastAsia" w:asciiTheme="minorEastAsia" w:hAnsiTheme="minorEastAsia"/>
                <w:b/>
                <w:szCs w:val="21"/>
              </w:rPr>
              <w:t>职业岗位</w:t>
            </w:r>
          </w:p>
          <w:p w14:paraId="48DA9444">
            <w:pPr>
              <w:jc w:val="center"/>
              <w:rPr>
                <w:rFonts w:asciiTheme="minorEastAsia" w:hAnsiTheme="minorEastAsia"/>
                <w:b/>
                <w:szCs w:val="21"/>
              </w:rPr>
            </w:pPr>
            <w:r>
              <w:rPr>
                <w:rFonts w:hint="eastAsia" w:asciiTheme="minorEastAsia" w:hAnsiTheme="minorEastAsia"/>
                <w:b/>
                <w:szCs w:val="21"/>
              </w:rPr>
              <w:t>（工作领域）</w:t>
            </w:r>
          </w:p>
        </w:tc>
        <w:tc>
          <w:tcPr>
            <w:tcW w:w="1701" w:type="dxa"/>
            <w:vAlign w:val="center"/>
          </w:tcPr>
          <w:p w14:paraId="2B957961">
            <w:pPr>
              <w:jc w:val="center"/>
              <w:rPr>
                <w:rFonts w:asciiTheme="minorEastAsia" w:hAnsiTheme="minorEastAsia"/>
                <w:b/>
                <w:szCs w:val="21"/>
              </w:rPr>
            </w:pPr>
            <w:r>
              <w:rPr>
                <w:rFonts w:hint="eastAsia" w:asciiTheme="minorEastAsia" w:hAnsiTheme="minorEastAsia"/>
                <w:b/>
                <w:szCs w:val="21"/>
              </w:rPr>
              <w:t>工作任务</w:t>
            </w:r>
          </w:p>
        </w:tc>
        <w:tc>
          <w:tcPr>
            <w:tcW w:w="3739" w:type="dxa"/>
            <w:vAlign w:val="center"/>
          </w:tcPr>
          <w:p w14:paraId="263FC517">
            <w:pPr>
              <w:jc w:val="center"/>
              <w:rPr>
                <w:rFonts w:asciiTheme="minorEastAsia" w:hAnsiTheme="minorEastAsia"/>
                <w:b/>
                <w:szCs w:val="21"/>
              </w:rPr>
            </w:pPr>
            <w:r>
              <w:rPr>
                <w:rFonts w:hint="eastAsia" w:asciiTheme="minorEastAsia" w:hAnsiTheme="minorEastAsia"/>
                <w:b/>
                <w:szCs w:val="21"/>
              </w:rPr>
              <w:t>职业能力</w:t>
            </w:r>
          </w:p>
        </w:tc>
        <w:tc>
          <w:tcPr>
            <w:tcW w:w="1463" w:type="dxa"/>
            <w:vAlign w:val="center"/>
          </w:tcPr>
          <w:p w14:paraId="6CD149DF">
            <w:pPr>
              <w:jc w:val="center"/>
              <w:rPr>
                <w:rFonts w:asciiTheme="minorEastAsia" w:hAnsiTheme="minorEastAsia"/>
                <w:b/>
                <w:szCs w:val="21"/>
              </w:rPr>
            </w:pPr>
            <w:r>
              <w:rPr>
                <w:rFonts w:hint="eastAsia" w:asciiTheme="minorEastAsia" w:hAnsiTheme="minorEastAsia"/>
                <w:b/>
                <w:szCs w:val="21"/>
              </w:rPr>
              <w:t>对应课程</w:t>
            </w:r>
          </w:p>
        </w:tc>
      </w:tr>
      <w:tr w14:paraId="3856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33" w:type="dxa"/>
            <w:vAlign w:val="center"/>
          </w:tcPr>
          <w:p w14:paraId="41CBEA63">
            <w:pPr>
              <w:keepNext w:val="0"/>
              <w:keepLines w:val="0"/>
              <w:pageBreakBefore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szCs w:val="21"/>
                <w:lang w:val="en-US" w:eastAsia="zh-CN"/>
              </w:rPr>
            </w:pPr>
            <w:r>
              <w:rPr>
                <w:rFonts w:hint="eastAsia"/>
              </w:rPr>
              <w:t>出纳、会计员（含总账会计、成本会计</w:t>
            </w:r>
            <w:r>
              <w:rPr>
                <w:rFonts w:hint="eastAsia"/>
                <w:lang w:eastAsia="zh-CN"/>
              </w:rPr>
              <w:t>）</w:t>
            </w:r>
            <w:r>
              <w:rPr>
                <w:rFonts w:hint="eastAsia"/>
                <w:lang w:val="en-US" w:eastAsia="zh-CN"/>
              </w:rPr>
              <w:t>等会计岗位</w:t>
            </w:r>
          </w:p>
        </w:tc>
        <w:tc>
          <w:tcPr>
            <w:tcW w:w="1701" w:type="dxa"/>
            <w:vAlign w:val="center"/>
          </w:tcPr>
          <w:p w14:paraId="2D47D7DA">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szCs w:val="21"/>
              </w:rPr>
            </w:pPr>
            <w:r>
              <w:rPr>
                <w:rFonts w:hint="eastAsia"/>
              </w:rPr>
              <w:t>会计基本核算、账务处理</w:t>
            </w:r>
          </w:p>
        </w:tc>
        <w:tc>
          <w:tcPr>
            <w:tcW w:w="3739" w:type="dxa"/>
            <w:vAlign w:val="center"/>
          </w:tcPr>
          <w:p w14:paraId="7DADCF4D">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rPr>
              <w:t>1.能正确运用借贷记账法登记账务，会运用银行基本业务操作</w:t>
            </w:r>
            <w:r>
              <w:rPr>
                <w:rFonts w:hint="eastAsia"/>
                <w:lang w:eastAsia="zh-CN"/>
              </w:rPr>
              <w:t>；</w:t>
            </w:r>
          </w:p>
          <w:p w14:paraId="54F3A375">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lang w:val="en-US" w:eastAsia="zh-CN"/>
              </w:rPr>
              <w:t>2.</w:t>
            </w:r>
            <w:r>
              <w:rPr>
                <w:rFonts w:hint="eastAsia"/>
              </w:rPr>
              <w:t>能正确进行各种经济业务的账务处理</w:t>
            </w:r>
            <w:r>
              <w:rPr>
                <w:rFonts w:hint="eastAsia"/>
                <w:lang w:eastAsia="zh-CN"/>
              </w:rPr>
              <w:t>；</w:t>
            </w:r>
          </w:p>
          <w:p w14:paraId="0CAB249C">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szCs w:val="21"/>
                <w:lang w:eastAsia="zh-CN"/>
              </w:rPr>
            </w:pPr>
            <w:r>
              <w:rPr>
                <w:rFonts w:hint="eastAsia"/>
                <w:lang w:val="en-US" w:eastAsia="zh-CN"/>
              </w:rPr>
              <w:t>3.</w:t>
            </w:r>
            <w:r>
              <w:rPr>
                <w:rFonts w:hint="eastAsia"/>
              </w:rPr>
              <w:t>能熟练运用用手工、用友财务软件，并根据企业实际情况做好账务处理工作</w:t>
            </w:r>
            <w:r>
              <w:rPr>
                <w:rFonts w:hint="eastAsia"/>
                <w:lang w:eastAsia="zh-CN"/>
              </w:rPr>
              <w:t>。</w:t>
            </w:r>
          </w:p>
        </w:tc>
        <w:tc>
          <w:tcPr>
            <w:tcW w:w="1463" w:type="dxa"/>
            <w:vAlign w:val="center"/>
          </w:tcPr>
          <w:p w14:paraId="7EFD0ABF">
            <w:pPr>
              <w:ind w:firstLine="210" w:firstLineChars="100"/>
              <w:rPr>
                <w:rFonts w:asciiTheme="minorEastAsia" w:hAnsiTheme="minorEastAsia"/>
                <w:szCs w:val="21"/>
              </w:rPr>
            </w:pPr>
            <w:r>
              <w:rPr>
                <w:rFonts w:hint="eastAsia"/>
              </w:rPr>
              <w:t>会计基础</w:t>
            </w:r>
          </w:p>
        </w:tc>
      </w:tr>
      <w:tr w14:paraId="3912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33" w:type="dxa"/>
            <w:vAlign w:val="center"/>
          </w:tcPr>
          <w:p w14:paraId="1403EB24">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szCs w:val="21"/>
              </w:rPr>
            </w:pPr>
            <w:r>
              <w:rPr>
                <w:rFonts w:hint="eastAsia"/>
              </w:rPr>
              <w:t>税务会计等会计岗位</w:t>
            </w:r>
          </w:p>
        </w:tc>
        <w:tc>
          <w:tcPr>
            <w:tcW w:w="1701" w:type="dxa"/>
            <w:vAlign w:val="center"/>
          </w:tcPr>
          <w:p w14:paraId="4E688525">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szCs w:val="21"/>
              </w:rPr>
            </w:pPr>
            <w:r>
              <w:rPr>
                <w:rFonts w:hint="eastAsia"/>
              </w:rPr>
              <w:t>税务登记及变更、发票的开具及纳税申报</w:t>
            </w:r>
          </w:p>
        </w:tc>
        <w:tc>
          <w:tcPr>
            <w:tcW w:w="3739" w:type="dxa"/>
            <w:vAlign w:val="center"/>
          </w:tcPr>
          <w:p w14:paraId="30BD6AC7">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lang w:val="en-US" w:eastAsia="zh-CN"/>
              </w:rPr>
              <w:t>1.</w:t>
            </w:r>
            <w:r>
              <w:rPr>
                <w:rFonts w:hint="eastAsia"/>
              </w:rPr>
              <w:t>能利用电脑或防伪税控系统准确开具增值税专用发票、普通发票、红字发票等各种发票</w:t>
            </w:r>
            <w:r>
              <w:rPr>
                <w:rFonts w:hint="eastAsia"/>
                <w:lang w:eastAsia="zh-CN"/>
              </w:rPr>
              <w:t>；</w:t>
            </w:r>
          </w:p>
          <w:p w14:paraId="03983619">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szCs w:val="21"/>
                <w:lang w:eastAsia="zh-CN"/>
              </w:rPr>
            </w:pPr>
            <w:r>
              <w:rPr>
                <w:rFonts w:hint="eastAsia"/>
                <w:lang w:val="en-US" w:eastAsia="zh-CN"/>
              </w:rPr>
              <w:t>2.</w:t>
            </w:r>
            <w:r>
              <w:rPr>
                <w:rFonts w:hint="eastAsia"/>
              </w:rPr>
              <w:t>能正确填写税务登记表或变更登记</w:t>
            </w:r>
            <w:r>
              <w:rPr>
                <w:rFonts w:hint="eastAsia"/>
                <w:lang w:eastAsia="zh-CN"/>
              </w:rPr>
              <w:t>。</w:t>
            </w:r>
          </w:p>
        </w:tc>
        <w:tc>
          <w:tcPr>
            <w:tcW w:w="1463" w:type="dxa"/>
            <w:vAlign w:val="center"/>
          </w:tcPr>
          <w:p w14:paraId="3D77046B">
            <w:pPr>
              <w:ind w:firstLine="210" w:firstLineChars="100"/>
            </w:pPr>
            <w:r>
              <w:rPr>
                <w:rFonts w:hint="eastAsia"/>
              </w:rPr>
              <w:t>税收基础</w:t>
            </w:r>
          </w:p>
          <w:p w14:paraId="076042FD">
            <w:pPr>
              <w:ind w:firstLine="210" w:firstLineChars="100"/>
              <w:rPr>
                <w:rFonts w:asciiTheme="minorEastAsia" w:hAnsiTheme="minorEastAsia"/>
                <w:szCs w:val="21"/>
              </w:rPr>
            </w:pPr>
            <w:r>
              <w:rPr>
                <w:rFonts w:hint="eastAsia"/>
              </w:rPr>
              <w:t>纳税实务</w:t>
            </w:r>
          </w:p>
        </w:tc>
      </w:tr>
      <w:tr w14:paraId="1B5F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33" w:type="dxa"/>
            <w:vAlign w:val="center"/>
          </w:tcPr>
          <w:p w14:paraId="1F44C8F2">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szCs w:val="21"/>
              </w:rPr>
            </w:pPr>
            <w:r>
              <w:rPr>
                <w:rFonts w:hint="eastAsia" w:ascii="宋体" w:hAnsi="宋体"/>
                <w:kern w:val="0"/>
                <w:sz w:val="21"/>
                <w:szCs w:val="21"/>
                <w:lang w:val="en-US" w:eastAsia="zh-CN"/>
              </w:rPr>
              <w:t>会计</w:t>
            </w:r>
            <w:r>
              <w:rPr>
                <w:rFonts w:ascii="宋体" w:hAnsi="宋体"/>
                <w:kern w:val="0"/>
                <w:sz w:val="21"/>
                <w:szCs w:val="21"/>
              </w:rPr>
              <w:t>电算化应用</w:t>
            </w:r>
          </w:p>
        </w:tc>
        <w:tc>
          <w:tcPr>
            <w:tcW w:w="1701" w:type="dxa"/>
            <w:vAlign w:val="center"/>
          </w:tcPr>
          <w:p w14:paraId="52F25819">
            <w:pPr>
              <w:keepNext w:val="0"/>
              <w:keepLines w:val="0"/>
              <w:pageBreakBefore w:val="0"/>
              <w:kinsoku/>
              <w:wordWrap/>
              <w:overflowPunct/>
              <w:topLinePunct w:val="0"/>
              <w:autoSpaceDE/>
              <w:autoSpaceDN/>
              <w:bidi w:val="0"/>
              <w:adjustRightInd/>
              <w:snapToGrid/>
              <w:spacing w:line="240" w:lineRule="auto"/>
              <w:textAlignment w:val="auto"/>
              <w:rPr>
                <w:rFonts w:hint="eastAsia"/>
              </w:rPr>
            </w:pPr>
            <w:r>
              <w:rPr>
                <w:rFonts w:ascii="宋体" w:hAnsi="宋体"/>
                <w:sz w:val="21"/>
                <w:szCs w:val="21"/>
              </w:rPr>
              <w:t>掌握所使用的会计软件的功能和操作方法，掌握全部会计科目编码、经费项目编码和与本单位有关的业务编码及其编制方法</w:t>
            </w:r>
          </w:p>
        </w:tc>
        <w:tc>
          <w:tcPr>
            <w:tcW w:w="3739" w:type="dxa"/>
            <w:vAlign w:val="center"/>
          </w:tcPr>
          <w:p w14:paraId="1613F3F3">
            <w:pPr>
              <w:pStyle w:val="180"/>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1.能熟悉会计软件的功能和操作流程；</w:t>
            </w:r>
          </w:p>
          <w:p w14:paraId="760B5C62">
            <w:pPr>
              <w:pStyle w:val="180"/>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2.能掌握会计科目及其他有关的业务编码；</w:t>
            </w:r>
          </w:p>
          <w:p w14:paraId="6F5CC177">
            <w:pPr>
              <w:pStyle w:val="180"/>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kern w:val="0"/>
                <w:sz w:val="21"/>
                <w:szCs w:val="21"/>
                <w:lang w:val="en-US" w:eastAsia="zh-CN"/>
              </w:rPr>
            </w:pPr>
            <w:r>
              <w:rPr>
                <w:rFonts w:hint="eastAsia" w:asciiTheme="minorHAnsi" w:hAnsiTheme="minorHAnsi" w:eastAsiaTheme="minorEastAsia" w:cstheme="minorBidi"/>
                <w:kern w:val="2"/>
                <w:sz w:val="21"/>
                <w:szCs w:val="22"/>
                <w:lang w:val="en-US" w:eastAsia="zh-CN" w:bidi="ar-SA"/>
              </w:rPr>
              <w:t>3.熟练掌握会计软件的操作流程，能利用会计资料，熟练进行数据的输入，保证输出数据如账簿、会计报表等的正确性。</w:t>
            </w:r>
          </w:p>
        </w:tc>
        <w:tc>
          <w:tcPr>
            <w:tcW w:w="1463" w:type="dxa"/>
            <w:vAlign w:val="center"/>
          </w:tcPr>
          <w:p w14:paraId="6DF6FCF3">
            <w:pPr>
              <w:pStyle w:val="180"/>
              <w:widowControl/>
              <w:numPr>
                <w:ilvl w:val="0"/>
                <w:numId w:val="0"/>
              </w:numPr>
              <w:ind w:leftChars="0"/>
              <w:jc w:val="center"/>
              <w:rPr>
                <w:rFonts w:hint="default" w:ascii="Times New Roman" w:hAnsi="Times New Roman" w:eastAsia="宋体" w:cstheme="minorBidi"/>
                <w:kern w:val="0"/>
                <w:sz w:val="21"/>
                <w:szCs w:val="21"/>
                <w:lang w:val="en-US" w:eastAsia="zh-CN" w:bidi="ar-SA"/>
              </w:rPr>
            </w:pPr>
            <w:r>
              <w:rPr>
                <w:rFonts w:hint="eastAsia" w:cstheme="minorBidi"/>
                <w:kern w:val="0"/>
                <w:sz w:val="21"/>
                <w:szCs w:val="21"/>
                <w:lang w:val="en-US" w:eastAsia="zh-CN" w:bidi="ar-SA"/>
              </w:rPr>
              <w:t>会计电算化</w:t>
            </w:r>
          </w:p>
        </w:tc>
      </w:tr>
      <w:bookmarkEnd w:id="8"/>
    </w:tbl>
    <w:p w14:paraId="051EF00C">
      <w:pPr>
        <w:spacing w:line="400" w:lineRule="exact"/>
        <w:ind w:firstLine="480" w:firstLineChars="200"/>
        <w:rPr>
          <w:rFonts w:ascii="楷体" w:hAnsi="楷体" w:eastAsia="楷体"/>
          <w:sz w:val="24"/>
          <w:szCs w:val="24"/>
        </w:rPr>
      </w:pPr>
      <w:r>
        <w:rPr>
          <w:rFonts w:hint="eastAsia" w:ascii="楷体" w:hAnsi="楷体" w:eastAsia="楷体"/>
          <w:sz w:val="24"/>
          <w:szCs w:val="24"/>
        </w:rPr>
        <w:t>（三）职业证书</w:t>
      </w:r>
    </w:p>
    <w:p w14:paraId="439577B3">
      <w:pPr>
        <w:spacing w:line="400" w:lineRule="exact"/>
        <w:rPr>
          <w:rFonts w:ascii="仿宋_GB2312" w:hAnsi="黑体" w:eastAsia="仿宋_GB2312"/>
          <w:sz w:val="24"/>
          <w:szCs w:val="24"/>
        </w:rPr>
      </w:pPr>
      <w:r>
        <w:rPr>
          <w:rFonts w:hint="eastAsia" w:ascii="仿宋_GB2312" w:hAnsi="黑体" w:eastAsia="仿宋_GB2312"/>
          <w:sz w:val="24"/>
          <w:szCs w:val="24"/>
        </w:rPr>
        <w:t>职业证书如表3所示。</w:t>
      </w:r>
    </w:p>
    <w:p w14:paraId="6800593C">
      <w:pPr>
        <w:spacing w:line="400" w:lineRule="exact"/>
        <w:jc w:val="center"/>
        <w:rPr>
          <w:rFonts w:ascii="仿宋_GB2312" w:hAnsi="黑体" w:eastAsia="仿宋_GB2312"/>
          <w:sz w:val="24"/>
          <w:szCs w:val="24"/>
        </w:rPr>
      </w:pPr>
      <w:r>
        <w:rPr>
          <w:rFonts w:hint="eastAsia" w:ascii="仿宋_GB2312" w:hAnsi="黑体" w:eastAsia="仿宋_GB2312"/>
          <w:sz w:val="24"/>
          <w:szCs w:val="24"/>
        </w:rPr>
        <w:t>表3  职业证书一览表</w:t>
      </w:r>
    </w:p>
    <w:tbl>
      <w:tblPr>
        <w:tblStyle w:val="43"/>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3016"/>
        <w:gridCol w:w="849"/>
        <w:gridCol w:w="2038"/>
        <w:gridCol w:w="1738"/>
      </w:tblGrid>
      <w:tr w14:paraId="608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0A452B59">
            <w:pPr>
              <w:spacing w:line="400" w:lineRule="exact"/>
              <w:jc w:val="center"/>
              <w:rPr>
                <w:rFonts w:asciiTheme="minorEastAsia" w:hAnsiTheme="minorEastAsia"/>
                <w:b/>
                <w:szCs w:val="21"/>
              </w:rPr>
            </w:pPr>
            <w:r>
              <w:rPr>
                <w:rFonts w:hint="eastAsia" w:asciiTheme="minorEastAsia" w:hAnsiTheme="minorEastAsia"/>
                <w:b/>
                <w:szCs w:val="21"/>
              </w:rPr>
              <w:t>序号</w:t>
            </w:r>
          </w:p>
        </w:tc>
        <w:tc>
          <w:tcPr>
            <w:tcW w:w="3016" w:type="dxa"/>
            <w:vAlign w:val="center"/>
          </w:tcPr>
          <w:p w14:paraId="5961E65A">
            <w:pPr>
              <w:spacing w:line="400" w:lineRule="exact"/>
              <w:jc w:val="center"/>
              <w:rPr>
                <w:rFonts w:asciiTheme="minorEastAsia" w:hAnsiTheme="minorEastAsia"/>
                <w:b/>
                <w:szCs w:val="21"/>
              </w:rPr>
            </w:pPr>
            <w:r>
              <w:rPr>
                <w:rFonts w:hint="eastAsia" w:asciiTheme="minorEastAsia" w:hAnsiTheme="minorEastAsia"/>
                <w:b/>
                <w:szCs w:val="21"/>
              </w:rPr>
              <w:t>证书名称</w:t>
            </w:r>
          </w:p>
        </w:tc>
        <w:tc>
          <w:tcPr>
            <w:tcW w:w="849" w:type="dxa"/>
            <w:vAlign w:val="center"/>
          </w:tcPr>
          <w:p w14:paraId="468B2CF6">
            <w:pPr>
              <w:spacing w:line="400" w:lineRule="exact"/>
              <w:jc w:val="center"/>
              <w:rPr>
                <w:rFonts w:asciiTheme="minorEastAsia" w:hAnsiTheme="minorEastAsia"/>
                <w:b/>
                <w:szCs w:val="21"/>
              </w:rPr>
            </w:pPr>
            <w:r>
              <w:rPr>
                <w:rFonts w:hint="eastAsia" w:asciiTheme="minorEastAsia" w:hAnsiTheme="minorEastAsia"/>
                <w:b/>
                <w:szCs w:val="21"/>
              </w:rPr>
              <w:t>等级</w:t>
            </w:r>
          </w:p>
        </w:tc>
        <w:tc>
          <w:tcPr>
            <w:tcW w:w="2038" w:type="dxa"/>
            <w:vAlign w:val="center"/>
          </w:tcPr>
          <w:p w14:paraId="5E055E97">
            <w:pPr>
              <w:spacing w:line="400" w:lineRule="exact"/>
              <w:jc w:val="center"/>
              <w:rPr>
                <w:rFonts w:asciiTheme="minorEastAsia" w:hAnsiTheme="minorEastAsia"/>
                <w:b/>
                <w:szCs w:val="21"/>
              </w:rPr>
            </w:pPr>
            <w:r>
              <w:rPr>
                <w:rFonts w:hint="eastAsia" w:asciiTheme="minorEastAsia" w:hAnsiTheme="minorEastAsia"/>
                <w:b/>
                <w:szCs w:val="21"/>
              </w:rPr>
              <w:t>颁证单位</w:t>
            </w:r>
          </w:p>
        </w:tc>
        <w:tc>
          <w:tcPr>
            <w:tcW w:w="1738" w:type="dxa"/>
            <w:vAlign w:val="center"/>
          </w:tcPr>
          <w:p w14:paraId="7DD26D0A">
            <w:pPr>
              <w:spacing w:line="400" w:lineRule="exact"/>
              <w:jc w:val="center"/>
              <w:rPr>
                <w:rFonts w:asciiTheme="minorEastAsia" w:hAnsiTheme="minorEastAsia"/>
                <w:b/>
                <w:szCs w:val="21"/>
              </w:rPr>
            </w:pPr>
            <w:r>
              <w:rPr>
                <w:rFonts w:hint="eastAsia" w:asciiTheme="minorEastAsia" w:hAnsiTheme="minorEastAsia"/>
                <w:b/>
                <w:szCs w:val="21"/>
              </w:rPr>
              <w:t>融通课程</w:t>
            </w:r>
          </w:p>
        </w:tc>
      </w:tr>
      <w:tr w14:paraId="17F6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66" w:type="dxa"/>
          </w:tcPr>
          <w:p w14:paraId="29F3D3CF">
            <w:pPr>
              <w:jc w:val="center"/>
              <w:rPr>
                <w:rFonts w:asciiTheme="minorEastAsia" w:hAnsiTheme="minorEastAsia"/>
                <w:szCs w:val="21"/>
              </w:rPr>
            </w:pPr>
            <w:r>
              <w:rPr>
                <w:rFonts w:hint="eastAsia"/>
              </w:rPr>
              <w:t>1</w:t>
            </w:r>
          </w:p>
        </w:tc>
        <w:tc>
          <w:tcPr>
            <w:tcW w:w="3016" w:type="dxa"/>
            <w:vAlign w:val="center"/>
          </w:tcPr>
          <w:p w14:paraId="403D59B9">
            <w:pPr>
              <w:rPr>
                <w:rFonts w:asciiTheme="minorEastAsia" w:hAnsiTheme="minorEastAsia" w:cstheme="minorEastAsia"/>
                <w:color w:val="FF0000"/>
                <w:szCs w:val="21"/>
              </w:rPr>
            </w:pPr>
            <w:r>
              <w:rPr>
                <w:rFonts w:hint="eastAsia"/>
              </w:rPr>
              <w:t>智能财税职业技能等级证书</w:t>
            </w:r>
          </w:p>
        </w:tc>
        <w:tc>
          <w:tcPr>
            <w:tcW w:w="849" w:type="dxa"/>
            <w:vAlign w:val="center"/>
          </w:tcPr>
          <w:p w14:paraId="3F351A91">
            <w:pPr>
              <w:rPr>
                <w:rFonts w:asciiTheme="minorEastAsia" w:hAnsiTheme="minorEastAsia" w:cstheme="minorEastAsia"/>
                <w:color w:val="FF0000"/>
                <w:szCs w:val="21"/>
              </w:rPr>
            </w:pPr>
            <w:r>
              <w:rPr>
                <w:rFonts w:hint="eastAsia"/>
              </w:rPr>
              <w:t>初级</w:t>
            </w:r>
          </w:p>
        </w:tc>
        <w:tc>
          <w:tcPr>
            <w:tcW w:w="2038" w:type="dxa"/>
            <w:vAlign w:val="center"/>
          </w:tcPr>
          <w:p w14:paraId="70076375">
            <w:pPr>
              <w:rPr>
                <w:rFonts w:asciiTheme="minorEastAsia" w:hAnsiTheme="minorEastAsia" w:cstheme="minorEastAsia"/>
                <w:color w:val="FF0000"/>
                <w:szCs w:val="21"/>
              </w:rPr>
            </w:pPr>
            <w:r>
              <w:rPr>
                <w:rFonts w:hint="eastAsia"/>
                <w:shd w:val="clear" w:color="auto" w:fill="FFFFFF"/>
              </w:rPr>
              <w:t>中联教育</w:t>
            </w:r>
          </w:p>
        </w:tc>
        <w:tc>
          <w:tcPr>
            <w:tcW w:w="1738" w:type="dxa"/>
            <w:vAlign w:val="center"/>
          </w:tcPr>
          <w:p w14:paraId="6E11EE9F">
            <w:pPr>
              <w:rPr>
                <w:rFonts w:asciiTheme="minorEastAsia" w:hAnsiTheme="minorEastAsia"/>
                <w:color w:val="FF0000"/>
                <w:szCs w:val="21"/>
              </w:rPr>
            </w:pPr>
            <w:r>
              <w:rPr>
                <w:rFonts w:hint="eastAsia"/>
              </w:rPr>
              <w:t>纳税实务</w:t>
            </w:r>
          </w:p>
        </w:tc>
      </w:tr>
      <w:tr w14:paraId="4E82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67FA55C2">
            <w:pPr>
              <w:jc w:val="center"/>
              <w:rPr>
                <w:rFonts w:asciiTheme="minorEastAsia" w:hAnsiTheme="minorEastAsia"/>
                <w:szCs w:val="21"/>
              </w:rPr>
            </w:pPr>
            <w:r>
              <w:rPr>
                <w:rFonts w:hint="eastAsia"/>
              </w:rPr>
              <w:t>2</w:t>
            </w:r>
          </w:p>
        </w:tc>
        <w:tc>
          <w:tcPr>
            <w:tcW w:w="3016" w:type="dxa"/>
            <w:vAlign w:val="center"/>
          </w:tcPr>
          <w:p w14:paraId="724454C9">
            <w:pPr>
              <w:rPr>
                <w:rFonts w:asciiTheme="minorEastAsia" w:hAnsiTheme="minorEastAsia" w:cstheme="minorEastAsia"/>
                <w:color w:val="FF0000"/>
                <w:szCs w:val="21"/>
              </w:rPr>
            </w:pPr>
            <w:r>
              <w:rPr>
                <w:rFonts w:hint="eastAsia"/>
              </w:rPr>
              <w:t>财务共享服务职业技能等级证书</w:t>
            </w:r>
          </w:p>
        </w:tc>
        <w:tc>
          <w:tcPr>
            <w:tcW w:w="849" w:type="dxa"/>
            <w:vAlign w:val="center"/>
          </w:tcPr>
          <w:p w14:paraId="05C8FE3A">
            <w:pPr>
              <w:rPr>
                <w:rFonts w:asciiTheme="minorEastAsia" w:hAnsiTheme="minorEastAsia" w:cstheme="minorEastAsia"/>
                <w:color w:val="FF0000"/>
                <w:szCs w:val="21"/>
              </w:rPr>
            </w:pPr>
            <w:r>
              <w:rPr>
                <w:rFonts w:hint="eastAsia"/>
              </w:rPr>
              <w:t>初级</w:t>
            </w:r>
          </w:p>
        </w:tc>
        <w:tc>
          <w:tcPr>
            <w:tcW w:w="2038" w:type="dxa"/>
            <w:vAlign w:val="center"/>
          </w:tcPr>
          <w:p w14:paraId="761917F3">
            <w:pPr>
              <w:rPr>
                <w:rFonts w:asciiTheme="minorEastAsia" w:hAnsiTheme="minorEastAsia" w:cstheme="minorEastAsia"/>
                <w:color w:val="FF0000"/>
                <w:szCs w:val="21"/>
              </w:rPr>
            </w:pPr>
            <w:r>
              <w:rPr>
                <w:rFonts w:hint="eastAsia"/>
                <w:shd w:val="clear" w:color="auto" w:fill="FFFFFF"/>
              </w:rPr>
              <w:t>中联教育</w:t>
            </w:r>
          </w:p>
        </w:tc>
        <w:tc>
          <w:tcPr>
            <w:tcW w:w="1738" w:type="dxa"/>
            <w:vAlign w:val="center"/>
          </w:tcPr>
          <w:p w14:paraId="6EDCC020">
            <w:pPr>
              <w:rPr>
                <w:rFonts w:asciiTheme="minorEastAsia" w:hAnsiTheme="minorEastAsia"/>
                <w:color w:val="FF0000"/>
                <w:szCs w:val="21"/>
              </w:rPr>
            </w:pPr>
            <w:r>
              <w:rPr>
                <w:rFonts w:hint="eastAsia"/>
              </w:rPr>
              <w:t>企业财务会计</w:t>
            </w:r>
          </w:p>
        </w:tc>
      </w:tr>
      <w:tr w14:paraId="0A35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66" w:type="dxa"/>
          </w:tcPr>
          <w:p w14:paraId="4F72339F">
            <w:pPr>
              <w:jc w:val="center"/>
              <w:rPr>
                <w:rFonts w:asciiTheme="minorEastAsia" w:hAnsiTheme="minorEastAsia"/>
                <w:szCs w:val="21"/>
              </w:rPr>
            </w:pPr>
            <w:r>
              <w:rPr>
                <w:rFonts w:hint="eastAsia"/>
              </w:rPr>
              <w:t>3</w:t>
            </w:r>
          </w:p>
        </w:tc>
        <w:tc>
          <w:tcPr>
            <w:tcW w:w="3016" w:type="dxa"/>
            <w:vAlign w:val="center"/>
          </w:tcPr>
          <w:p w14:paraId="3EEEFF9E">
            <w:pPr>
              <w:rPr>
                <w:rFonts w:asciiTheme="minorEastAsia" w:hAnsiTheme="minorEastAsia" w:cstheme="minorEastAsia"/>
                <w:color w:val="FF0000"/>
                <w:szCs w:val="21"/>
              </w:rPr>
            </w:pPr>
            <w:r>
              <w:rPr>
                <w:rFonts w:hint="eastAsia"/>
              </w:rPr>
              <w:t>业财一体化职业技能等级证书</w:t>
            </w:r>
          </w:p>
        </w:tc>
        <w:tc>
          <w:tcPr>
            <w:tcW w:w="849" w:type="dxa"/>
            <w:vAlign w:val="center"/>
          </w:tcPr>
          <w:p w14:paraId="19FA7669">
            <w:pPr>
              <w:rPr>
                <w:rFonts w:asciiTheme="minorEastAsia" w:hAnsiTheme="minorEastAsia" w:cstheme="minorEastAsia"/>
                <w:color w:val="FF0000"/>
                <w:szCs w:val="21"/>
              </w:rPr>
            </w:pPr>
            <w:r>
              <w:rPr>
                <w:rFonts w:hint="eastAsia"/>
              </w:rPr>
              <w:t>初级</w:t>
            </w:r>
          </w:p>
        </w:tc>
        <w:tc>
          <w:tcPr>
            <w:tcW w:w="2038" w:type="dxa"/>
            <w:vAlign w:val="center"/>
          </w:tcPr>
          <w:p w14:paraId="548FDFB0">
            <w:pPr>
              <w:rPr>
                <w:rFonts w:asciiTheme="minorEastAsia" w:hAnsiTheme="minorEastAsia" w:cstheme="minorEastAsia"/>
                <w:color w:val="FF0000"/>
                <w:szCs w:val="21"/>
              </w:rPr>
            </w:pPr>
            <w:r>
              <w:rPr>
                <w:rFonts w:hint="eastAsia"/>
                <w:shd w:val="clear" w:color="auto" w:fill="FFFFFF"/>
              </w:rPr>
              <w:t>中联教育</w:t>
            </w:r>
          </w:p>
        </w:tc>
        <w:tc>
          <w:tcPr>
            <w:tcW w:w="1738" w:type="dxa"/>
            <w:vAlign w:val="center"/>
          </w:tcPr>
          <w:p w14:paraId="7CBE04B2">
            <w:pPr>
              <w:rPr>
                <w:rFonts w:asciiTheme="minorEastAsia" w:hAnsiTheme="minorEastAsia"/>
                <w:color w:val="FF0000"/>
                <w:szCs w:val="21"/>
              </w:rPr>
            </w:pPr>
            <w:r>
              <w:rPr>
                <w:rFonts w:hint="eastAsia"/>
              </w:rPr>
              <w:t>企业财务会计</w:t>
            </w:r>
          </w:p>
        </w:tc>
      </w:tr>
      <w:tr w14:paraId="0BCC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6" w:type="dxa"/>
          </w:tcPr>
          <w:p w14:paraId="771060DC">
            <w:pPr>
              <w:jc w:val="center"/>
              <w:rPr>
                <w:rFonts w:asciiTheme="minorEastAsia" w:hAnsiTheme="minorEastAsia"/>
                <w:szCs w:val="21"/>
              </w:rPr>
            </w:pPr>
            <w:r>
              <w:rPr>
                <w:rFonts w:hint="eastAsia"/>
              </w:rPr>
              <w:t>4</w:t>
            </w:r>
          </w:p>
        </w:tc>
        <w:tc>
          <w:tcPr>
            <w:tcW w:w="3016" w:type="dxa"/>
            <w:vAlign w:val="center"/>
          </w:tcPr>
          <w:p w14:paraId="6B1FFA59">
            <w:pPr>
              <w:rPr>
                <w:rFonts w:asciiTheme="minorEastAsia" w:hAnsiTheme="minorEastAsia" w:cstheme="minorEastAsia"/>
                <w:color w:val="FF0000"/>
                <w:szCs w:val="21"/>
              </w:rPr>
            </w:pPr>
            <w:r>
              <w:rPr>
                <w:rFonts w:hint="eastAsia"/>
              </w:rPr>
              <w:t>计算机等级证书</w:t>
            </w:r>
          </w:p>
        </w:tc>
        <w:tc>
          <w:tcPr>
            <w:tcW w:w="849" w:type="dxa"/>
            <w:vAlign w:val="center"/>
          </w:tcPr>
          <w:p w14:paraId="4CA1EB78">
            <w:pPr>
              <w:rPr>
                <w:rFonts w:asciiTheme="minorEastAsia" w:hAnsiTheme="minorEastAsia" w:cstheme="minorEastAsia"/>
                <w:color w:val="FF0000"/>
                <w:szCs w:val="21"/>
              </w:rPr>
            </w:pPr>
            <w:r>
              <w:rPr>
                <w:rFonts w:hint="eastAsia"/>
              </w:rPr>
              <w:t>一级</w:t>
            </w:r>
          </w:p>
        </w:tc>
        <w:tc>
          <w:tcPr>
            <w:tcW w:w="2038" w:type="dxa"/>
            <w:vAlign w:val="center"/>
          </w:tcPr>
          <w:p w14:paraId="1F188CF0">
            <w:pPr>
              <w:rPr>
                <w:rFonts w:asciiTheme="minorEastAsia" w:hAnsiTheme="minorEastAsia" w:cstheme="minorEastAsia"/>
                <w:color w:val="FF0000"/>
                <w:szCs w:val="21"/>
              </w:rPr>
            </w:pPr>
            <w:r>
              <w:rPr>
                <w:rFonts w:hint="eastAsia"/>
              </w:rPr>
              <w:t>教育部考试中心</w:t>
            </w:r>
          </w:p>
        </w:tc>
        <w:tc>
          <w:tcPr>
            <w:tcW w:w="1738" w:type="dxa"/>
            <w:vAlign w:val="center"/>
          </w:tcPr>
          <w:p w14:paraId="1388AAD4">
            <w:pPr>
              <w:rPr>
                <w:rFonts w:asciiTheme="minorEastAsia" w:hAnsiTheme="minorEastAsia"/>
                <w:color w:val="FF0000"/>
                <w:szCs w:val="21"/>
              </w:rPr>
            </w:pPr>
            <w:r>
              <w:rPr>
                <w:rFonts w:hint="eastAsia"/>
              </w:rPr>
              <w:t>计算机基础</w:t>
            </w:r>
          </w:p>
        </w:tc>
      </w:tr>
    </w:tbl>
    <w:p w14:paraId="4FA4E553">
      <w:pPr>
        <w:pStyle w:val="3"/>
        <w:snapToGrid w:val="0"/>
        <w:spacing w:before="0" w:after="0" w:line="400" w:lineRule="exact"/>
        <w:ind w:firstLine="480" w:firstLineChars="200"/>
        <w:jc w:val="both"/>
        <w:rPr>
          <w:rFonts w:ascii="黑体" w:hAnsi="Times New Roman"/>
          <w:sz w:val="24"/>
          <w:szCs w:val="21"/>
        </w:rPr>
      </w:pPr>
      <w:bookmarkStart w:id="9" w:name="_Toc530755372"/>
    </w:p>
    <w:p w14:paraId="032DF280">
      <w:pPr>
        <w:pStyle w:val="3"/>
        <w:snapToGrid w:val="0"/>
        <w:spacing w:before="0" w:after="0" w:line="400" w:lineRule="exact"/>
        <w:ind w:firstLine="480" w:firstLineChars="200"/>
        <w:jc w:val="both"/>
        <w:rPr>
          <w:rFonts w:ascii="黑体" w:hAnsi="Times New Roman"/>
          <w:sz w:val="24"/>
          <w:szCs w:val="21"/>
        </w:rPr>
      </w:pPr>
      <w:bookmarkStart w:id="10" w:name="_Toc20772"/>
      <w:r>
        <w:rPr>
          <w:rFonts w:hint="eastAsia" w:ascii="黑体" w:hAnsi="Times New Roman"/>
          <w:sz w:val="24"/>
          <w:szCs w:val="21"/>
        </w:rPr>
        <w:t>五、培养目标</w:t>
      </w:r>
      <w:bookmarkEnd w:id="9"/>
      <w:r>
        <w:rPr>
          <w:rFonts w:hint="eastAsia" w:ascii="黑体" w:hAnsi="Times New Roman"/>
          <w:sz w:val="24"/>
          <w:szCs w:val="21"/>
        </w:rPr>
        <w:t>与规格</w:t>
      </w:r>
      <w:bookmarkEnd w:id="10"/>
    </w:p>
    <w:p w14:paraId="2DF2CCA0">
      <w:pPr>
        <w:spacing w:line="400" w:lineRule="exact"/>
        <w:ind w:firstLine="480" w:firstLineChars="200"/>
        <w:rPr>
          <w:rFonts w:ascii="楷体" w:hAnsi="楷体" w:eastAsia="楷体"/>
          <w:sz w:val="24"/>
          <w:szCs w:val="24"/>
        </w:rPr>
      </w:pPr>
      <w:r>
        <w:rPr>
          <w:rFonts w:hint="eastAsia" w:ascii="楷体" w:hAnsi="楷体" w:eastAsia="楷体"/>
          <w:sz w:val="24"/>
          <w:szCs w:val="24"/>
        </w:rPr>
        <w:t>（一）培养目标</w:t>
      </w:r>
    </w:p>
    <w:p w14:paraId="1D8DE240">
      <w:pPr>
        <w:spacing w:line="400" w:lineRule="exact"/>
        <w:ind w:firstLine="480" w:firstLineChars="200"/>
        <w:rPr>
          <w:rFonts w:ascii="楷体_GB2312" w:hAnsi="楷体_GB2312" w:eastAsia="楷体_GB2312" w:cs="楷体_GB2312"/>
          <w:sz w:val="22"/>
          <w:szCs w:val="24"/>
        </w:rPr>
      </w:pPr>
      <w:r>
        <w:rPr>
          <w:rFonts w:hint="eastAsia" w:ascii="仿宋_GB2312" w:hAnsi="黑体" w:eastAsia="仿宋_GB2312"/>
          <w:sz w:val="24"/>
          <w:szCs w:val="24"/>
        </w:rPr>
        <w:t>本专业培养德智体美劳全面发展，</w:t>
      </w:r>
      <w:r>
        <w:rPr>
          <w:rFonts w:ascii="仿宋_GB2312" w:hAnsi="黑体" w:eastAsia="仿宋_GB2312"/>
          <w:sz w:val="24"/>
          <w:szCs w:val="24"/>
        </w:rPr>
        <w:t>具有一定的科学文化水平，良好的人文素养、职业道德和创新意识，精益求精的工匠精神，较强的就业创业能力和可持续发展的能力，掌握本专业知识和技术技能</w:t>
      </w:r>
      <w:r>
        <w:rPr>
          <w:rFonts w:hint="eastAsia" w:ascii="仿宋_GB2312" w:hAnsi="黑体" w:eastAsia="仿宋_GB2312"/>
          <w:sz w:val="24"/>
          <w:szCs w:val="24"/>
        </w:rPr>
        <w:t>，面向会计行业的金融、会计、税务等职业群</w:t>
      </w:r>
      <w:r>
        <w:rPr>
          <w:rFonts w:ascii="仿宋_GB2312" w:hAnsi="黑体" w:eastAsia="仿宋_GB2312"/>
          <w:sz w:val="24"/>
          <w:szCs w:val="24"/>
        </w:rPr>
        <w:t>（或技术领域）</w:t>
      </w:r>
      <w:r>
        <w:rPr>
          <w:rFonts w:hint="eastAsia" w:ascii="仿宋_GB2312" w:hAnsi="黑体" w:eastAsia="仿宋_GB2312"/>
          <w:sz w:val="24"/>
          <w:szCs w:val="24"/>
        </w:rPr>
        <w:t>，能够从事企业事业单位出纳、会计与财税代理服务、发票开具、票据分类整理、制单记账与财务会计核算、纳税申报、财税综合业务等工作的</w:t>
      </w:r>
      <w:r>
        <w:rPr>
          <w:rFonts w:ascii="仿宋_GB2312" w:hAnsi="黑体" w:eastAsia="仿宋_GB2312"/>
          <w:sz w:val="24"/>
          <w:szCs w:val="24"/>
        </w:rPr>
        <w:t>技术技能人才。</w:t>
      </w:r>
    </w:p>
    <w:p w14:paraId="459B6EFB">
      <w:pPr>
        <w:spacing w:line="400" w:lineRule="exact"/>
        <w:ind w:firstLine="480" w:firstLineChars="200"/>
        <w:rPr>
          <w:rFonts w:ascii="楷体" w:hAnsi="楷体" w:eastAsia="楷体"/>
          <w:sz w:val="24"/>
          <w:szCs w:val="24"/>
        </w:rPr>
      </w:pPr>
      <w:r>
        <w:rPr>
          <w:rFonts w:hint="eastAsia" w:ascii="楷体" w:hAnsi="楷体" w:eastAsia="楷体"/>
          <w:sz w:val="24"/>
          <w:szCs w:val="24"/>
        </w:rPr>
        <w:t>（二）培养规格</w:t>
      </w:r>
    </w:p>
    <w:p w14:paraId="6D9B35CC">
      <w:pPr>
        <w:spacing w:line="400" w:lineRule="exact"/>
        <w:ind w:firstLine="480" w:firstLineChars="200"/>
        <w:rPr>
          <w:rFonts w:ascii="楷体" w:hAnsi="楷体" w:eastAsia="楷体"/>
          <w:sz w:val="24"/>
          <w:szCs w:val="24"/>
        </w:rPr>
      </w:pPr>
      <w:r>
        <w:rPr>
          <w:rFonts w:hint="eastAsia" w:ascii="楷体" w:hAnsi="楷体" w:eastAsia="楷体"/>
          <w:sz w:val="24"/>
          <w:szCs w:val="24"/>
        </w:rPr>
        <w:t>1.素质要求</w:t>
      </w:r>
    </w:p>
    <w:p w14:paraId="013BF6AE">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（1）践行社会主义核心价值观，具有深厚的爱国情感和中华民族自豪感;</w:t>
      </w:r>
    </w:p>
    <w:p w14:paraId="2875B3B9">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（2）崇尚宪法、遵法守纪、崇德向善、诚实守信、尊重生命、热爱劳动，履行道德准则和行为规范，具有社会责任感和社会参与意识;</w:t>
      </w:r>
    </w:p>
    <w:p w14:paraId="19BA6EC2">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（3）具有质量意识、环保意识、安全意识、信息素养、工匠精神、创新思维;</w:t>
      </w:r>
    </w:p>
    <w:p w14:paraId="723A1923">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（4）勤于劳动、勇于奋斗、乐观向上，具有自我管理能力。职业生涯规划的意识，有较强的集体意识和团队合作精神;</w:t>
      </w:r>
    </w:p>
    <w:p w14:paraId="24486E0F">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（5）具有健康的体魄、心理和健全的人格，掌握基本运动知识和一两项运动技能，养成良好的健身与卫生习惯，良好的行为习惯;</w:t>
      </w:r>
    </w:p>
    <w:p w14:paraId="564709DD">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（6）具有一定的审美和人文素养，能够形成一两项艺术特长或爱好。</w:t>
      </w:r>
    </w:p>
    <w:p w14:paraId="222B5125">
      <w:pPr>
        <w:spacing w:line="400" w:lineRule="exact"/>
        <w:ind w:firstLine="480" w:firstLineChars="200"/>
        <w:rPr>
          <w:rFonts w:ascii="楷体" w:hAnsi="楷体" w:eastAsia="楷体"/>
          <w:sz w:val="24"/>
          <w:szCs w:val="24"/>
        </w:rPr>
      </w:pPr>
      <w:r>
        <w:rPr>
          <w:rFonts w:hint="eastAsia" w:ascii="楷体" w:hAnsi="楷体" w:eastAsia="楷体"/>
          <w:sz w:val="24"/>
          <w:szCs w:val="24"/>
        </w:rPr>
        <w:t>2.知识要求</w:t>
      </w:r>
    </w:p>
    <w:p w14:paraId="68906747">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（1）掌握必备的思想政治理论、科学文化基础知识和中华优秀传统文化知识;</w:t>
      </w:r>
    </w:p>
    <w:p w14:paraId="3AC4A653">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（2）熟悉与本专业相关的法律法规以及信息技术、绿色生产、环境保护、安全等相关知识；</w:t>
      </w:r>
    </w:p>
    <w:p w14:paraId="662A6026">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（3）掌握语文、数学、外语、历史等本专业所需的文化基础知识；</w:t>
      </w:r>
    </w:p>
    <w:p w14:paraId="237F0825">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（4）掌握计算机和会计相关知识。熟练掌握各种办公设备、常用办公软件使用；</w:t>
      </w:r>
    </w:p>
    <w:p w14:paraId="64E0C8AD">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（5）理解和掌握会计基本理论、基础知识和基本方法的程度，以及综合运用这些理论、知识、方法解决实际问题的能力；</w:t>
      </w:r>
    </w:p>
    <w:p w14:paraId="667F8730">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 xml:space="preserve">（6）掌握资金结算与内控管理知识，具有企业收支业务办理、出纳业务处理和往来 资金管理的能力； </w:t>
      </w:r>
    </w:p>
    <w:p w14:paraId="1C3E2DBE">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 xml:space="preserve">（7）掌握企业日常经营活动基本业务流程和会计核算方法，具有主要经济业务会计 确认、计量、报告以及实施会计监督的能力； </w:t>
      </w:r>
    </w:p>
    <w:p w14:paraId="2887AD18">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（8）掌握财税、金融等法律法规知识，具有财税咨询与服务，从事发票开具、票据 录入分类整理、代办企业工商登记、企业税务登记及社保等会计事务的能力；</w:t>
      </w:r>
    </w:p>
    <w:p w14:paraId="5D1C657C">
      <w:pPr>
        <w:spacing w:line="400" w:lineRule="exact"/>
        <w:ind w:firstLine="480" w:firstLineChars="200"/>
        <w:rPr>
          <w:rFonts w:ascii="楷体" w:hAnsi="楷体" w:eastAsia="楷体"/>
          <w:sz w:val="24"/>
          <w:szCs w:val="24"/>
        </w:rPr>
      </w:pPr>
      <w:r>
        <w:rPr>
          <w:rFonts w:hint="eastAsia" w:ascii="楷体" w:hAnsi="楷体" w:eastAsia="楷体"/>
          <w:sz w:val="24"/>
          <w:szCs w:val="24"/>
        </w:rPr>
        <w:t>3.能力要求</w:t>
      </w:r>
    </w:p>
    <w:p w14:paraId="660E020F">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（1）能够具备独立思考、口语和书面表达及信息技术应用等通用能力；</w:t>
      </w:r>
    </w:p>
    <w:p w14:paraId="1A89543A">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（2）能够熟练操作常用计算机办公软件进行资料检索，能够阅读理解财税制度文件;具有终身学习、独立思考、逻辑推理能力和良好的团队协作能力;</w:t>
      </w:r>
    </w:p>
    <w:p w14:paraId="61DE7576">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（3）能够审核、填制、管理各类原始凭证、填制记账凭证、登记账簿、期末对账、对报表进行编制及分析；</w:t>
      </w:r>
    </w:p>
    <w:p w14:paraId="7B4927FE">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（4）能够审核和管理工资变动，计算出扣缴所得税与工资分摊；能够利用计算机进行工资、固定资产、采购、销售及库存业务处理；</w:t>
      </w:r>
    </w:p>
    <w:p w14:paraId="0F9AE8B6">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（5）能够选择恰当的成本核算方法进行产品成本核算、成本控制和成本管理；</w:t>
      </w:r>
    </w:p>
    <w:p w14:paraId="045B9325">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（6）能够领购和使用各类发票、填制涉税文书、进行网上纳税申报；</w:t>
      </w:r>
    </w:p>
    <w:p w14:paraId="0F0834DE">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（7）能利用计算机进行专业相关信息处理和专业业务处理；</w:t>
      </w:r>
    </w:p>
    <w:p w14:paraId="621ECE5D">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（8）能运用财税软件分析和解决会计实际问题的能力；</w:t>
      </w:r>
    </w:p>
    <w:p w14:paraId="485C84AA">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（9）能够熟练熟练掌握与本专业从事职业活动相关的国家法律、行业规定，掌握绿色生产、环境保护、安全防护、质量管理等相关知识与技能。</w:t>
      </w:r>
    </w:p>
    <w:p w14:paraId="6BDB139D">
      <w:pPr>
        <w:pStyle w:val="3"/>
        <w:snapToGrid w:val="0"/>
        <w:spacing w:before="156" w:beforeLines="50" w:after="0" w:line="400" w:lineRule="exact"/>
        <w:ind w:firstLine="480" w:firstLineChars="200"/>
        <w:jc w:val="both"/>
        <w:rPr>
          <w:rFonts w:ascii="黑体" w:hAnsi="Times New Roman"/>
          <w:sz w:val="24"/>
          <w:szCs w:val="21"/>
        </w:rPr>
      </w:pPr>
      <w:bookmarkStart w:id="11" w:name="_Toc530755376"/>
      <w:bookmarkStart w:id="12" w:name="_Toc24117"/>
      <w:r>
        <w:rPr>
          <w:rFonts w:hint="eastAsia" w:ascii="黑体" w:hAnsi="Times New Roman"/>
          <w:sz w:val="24"/>
          <w:szCs w:val="21"/>
        </w:rPr>
        <w:t>六、</w:t>
      </w:r>
      <w:bookmarkEnd w:id="11"/>
      <w:r>
        <w:rPr>
          <w:rFonts w:ascii="宋体" w:hAnsi="宋体"/>
          <w:sz w:val="24"/>
          <w:szCs w:val="24"/>
        </w:rPr>
        <w:t>培养模式</w:t>
      </w:r>
      <w:bookmarkEnd w:id="12"/>
    </w:p>
    <w:p w14:paraId="66C83587">
      <w:pPr>
        <w:spacing w:line="400" w:lineRule="exact"/>
        <w:ind w:firstLine="480" w:firstLineChars="200"/>
        <w:rPr>
          <w:rFonts w:ascii="仿宋_GB2312" w:hAnsi="黑体" w:eastAsia="仿宋_GB2312"/>
          <w:sz w:val="24"/>
          <w:szCs w:val="24"/>
        </w:rPr>
      </w:pPr>
      <w:r>
        <w:rPr>
          <w:rFonts w:ascii="仿宋_GB2312" w:hAnsi="黑体" w:eastAsia="仿宋_GB2312"/>
          <w:sz w:val="24"/>
          <w:szCs w:val="24"/>
        </w:rPr>
        <w:t>从2022年职教高考政策实施起，实行人才培养模式的综合改革，通过“文化知识与专业技能、专业教育与个性化培养、学科建设与本科教育”三个融通和教学方法的三个转变，对学生进行“专业教育、分层教学、多元培养”三个阶段培养，为学生提供二次选择升学路径的机会，实现部分优秀学生通过参加高考升入本科及高职院校，部分学生通过单招升入高职院校，形成“高职院校升学、本科院校升学”双发展路径。</w:t>
      </w:r>
    </w:p>
    <w:p w14:paraId="049BCF5B">
      <w:pPr>
        <w:spacing w:line="400" w:lineRule="exact"/>
        <w:ind w:firstLine="480" w:firstLineChars="200"/>
        <w:rPr>
          <w:rFonts w:ascii="仿宋_GB2312" w:hAnsi="黑体" w:eastAsia="仿宋_GB2312"/>
          <w:sz w:val="24"/>
          <w:szCs w:val="24"/>
        </w:rPr>
      </w:pPr>
      <w:r>
        <w:rPr>
          <w:rFonts w:ascii="仿宋_GB2312" w:hAnsi="黑体" w:eastAsia="仿宋_GB2312"/>
          <w:sz w:val="24"/>
          <w:szCs w:val="24"/>
        </w:rPr>
        <w:t>“三三二”人才培养模式综合改革中的 “三三二”是指“三举措、三阶段、二路径”，其总体思路是：贯彻“以学生为中心”的办学理念。三举措：更新教学理念（实现“文化知识与专业技能、专业教育与个性化培养、学科建设与本科教育”三个融通）；优化资源配置（健全“科教协同、校企协同、产学协同”三个协同育人机制）；转变教学方法（实现以教为主向以学为主，以课堂为主向课内外结合，以结果评价为主向结果和过程评价结合的三个转变）。三阶段：专业培养、分层教学、多元培养；二路径：高职院校升学、本科院校升学。</w:t>
      </w:r>
    </w:p>
    <w:p w14:paraId="63BDC0B4">
      <w:pPr>
        <w:rPr>
          <w:rFonts w:ascii="黑体" w:hAnsi="Times New Roman" w:cs="Times New Roman"/>
          <w:sz w:val="24"/>
          <w:szCs w:val="21"/>
        </w:rPr>
      </w:pPr>
    </w:p>
    <w:p w14:paraId="7290AB4D">
      <w:pPr>
        <w:pStyle w:val="3"/>
        <w:snapToGrid w:val="0"/>
        <w:spacing w:before="156" w:beforeLines="50" w:after="0" w:line="400" w:lineRule="exact"/>
        <w:ind w:firstLine="640" w:firstLineChars="200"/>
        <w:jc w:val="both"/>
        <w:rPr>
          <w:rFonts w:ascii="黑体" w:hAnsi="Times New Roman"/>
          <w:sz w:val="24"/>
          <w:szCs w:val="21"/>
        </w:rPr>
      </w:pPr>
      <w:bookmarkStart w:id="13" w:name="_Toc27301"/>
      <w:r>
        <w:drawing>
          <wp:anchor distT="0" distB="0" distL="114300" distR="114300" simplePos="0" relativeHeight="251662336" behindDoc="0" locked="0" layoutInCell="1" allowOverlap="1">
            <wp:simplePos x="0" y="0"/>
            <wp:positionH relativeFrom="column">
              <wp:posOffset>-393700</wp:posOffset>
            </wp:positionH>
            <wp:positionV relativeFrom="paragraph">
              <wp:posOffset>127635</wp:posOffset>
            </wp:positionV>
            <wp:extent cx="6060440" cy="3206750"/>
            <wp:effectExtent l="0" t="0" r="16510" b="12700"/>
            <wp:wrapNone/>
            <wp:docPr id="805965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65228"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0440" cy="3206750"/>
                    </a:xfrm>
                    <a:prstGeom prst="rect">
                      <a:avLst/>
                    </a:prstGeom>
                  </pic:spPr>
                </pic:pic>
              </a:graphicData>
            </a:graphic>
          </wp:anchor>
        </w:drawing>
      </w:r>
      <w:r>
        <w:rPr>
          <w:rFonts w:hint="eastAsia" w:ascii="黑体" w:hAnsi="Times New Roman"/>
          <w:sz w:val="24"/>
          <w:szCs w:val="21"/>
        </w:rPr>
        <w:t>七、课程设置与要求</w:t>
      </w:r>
      <w:bookmarkEnd w:id="13"/>
    </w:p>
    <w:p w14:paraId="5680D405">
      <w:pPr>
        <w:spacing w:line="400" w:lineRule="exact"/>
        <w:ind w:firstLine="480" w:firstLineChars="200"/>
        <w:rPr>
          <w:rFonts w:ascii="楷体" w:hAnsi="楷体" w:eastAsia="楷体"/>
          <w:sz w:val="24"/>
          <w:szCs w:val="24"/>
        </w:rPr>
      </w:pPr>
      <w:r>
        <w:rPr>
          <w:rFonts w:hint="eastAsia" w:ascii="楷体" w:hAnsi="楷体" w:eastAsia="楷体"/>
          <w:sz w:val="24"/>
          <w:szCs w:val="24"/>
        </w:rPr>
        <w:t>（一）课程体系</w:t>
      </w:r>
    </w:p>
    <w:p w14:paraId="6607B1C0">
      <w:pPr>
        <w:spacing w:before="29" w:line="324" w:lineRule="auto"/>
        <w:ind w:left="118" w:firstLine="636"/>
        <w:rPr>
          <w:rFonts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课程主要包括公共基础课程和专业课程。课程结构体系如下：</w:t>
      </w:r>
    </w:p>
    <w:p w14:paraId="3B3E0F18"/>
    <w:p w14:paraId="5621A3A0"/>
    <w:p w14:paraId="7FBA2015"/>
    <w:p w14:paraId="6E36C9F5"/>
    <w:p w14:paraId="23767F7C"/>
    <w:p w14:paraId="1686467D"/>
    <w:p w14:paraId="0028ECA4"/>
    <w:p w14:paraId="07965E75"/>
    <w:p w14:paraId="52A89191"/>
    <w:p w14:paraId="750EB857"/>
    <w:p w14:paraId="2C2E4BAE"/>
    <w:p w14:paraId="4F6F072E"/>
    <w:p w14:paraId="21472183"/>
    <w:p w14:paraId="7F8723FF"/>
    <w:p w14:paraId="2EB0EAFA"/>
    <w:p w14:paraId="639D314D">
      <w:pPr>
        <w:pStyle w:val="2"/>
        <w:ind w:firstLine="0" w:firstLineChars="0"/>
        <w:jc w:val="center"/>
        <w:rPr>
          <w:rFonts w:ascii="仿宋_GB2312" w:hAnsi="黑体"/>
          <w:sz w:val="24"/>
          <w:szCs w:val="24"/>
        </w:rPr>
      </w:pPr>
      <w:r>
        <w:rPr>
          <w:rFonts w:hint="eastAsia"/>
        </w:rPr>
        <w:tab/>
      </w:r>
      <w:r>
        <w:rPr>
          <w:rFonts w:hint="eastAsia" w:ascii="仿宋_GB2312" w:hAnsi="黑体"/>
          <w:szCs w:val="21"/>
        </w:rPr>
        <w:t>图1</w:t>
      </w:r>
      <w:r>
        <w:rPr>
          <w:rFonts w:ascii="仿宋_GB2312" w:hAnsi="黑体"/>
          <w:szCs w:val="21"/>
        </w:rPr>
        <w:t xml:space="preserve"> </w:t>
      </w:r>
      <w:r>
        <w:rPr>
          <w:rFonts w:hint="eastAsia" w:ascii="仿宋_GB2312" w:hAnsi="黑体"/>
          <w:szCs w:val="21"/>
        </w:rPr>
        <w:t>中职会计事务专业“三三二”人才培养模式</w:t>
      </w:r>
    </w:p>
    <w:p w14:paraId="2A47AD9C">
      <w:pPr>
        <w:tabs>
          <w:tab w:val="left" w:pos="790"/>
        </w:tabs>
        <w:jc w:val="left"/>
      </w:pPr>
    </w:p>
    <w:p w14:paraId="2B3C6E36">
      <w:pPr>
        <w:pStyle w:val="2"/>
        <w:ind w:firstLine="0" w:firstLineChars="0"/>
        <w:rPr>
          <w:rFonts w:ascii="仿宋_GB2312" w:hAnsi="黑体"/>
          <w:sz w:val="24"/>
          <w:szCs w:val="24"/>
        </w:rPr>
      </w:pPr>
    </w:p>
    <w:p w14:paraId="493F97AC">
      <w:pPr>
        <w:pStyle w:val="2"/>
        <w:ind w:firstLine="0" w:firstLineChars="0"/>
        <w:rPr>
          <w:rFonts w:ascii="仿宋_GB2312" w:hAnsi="黑体"/>
          <w:sz w:val="24"/>
          <w:szCs w:val="24"/>
        </w:rPr>
      </w:pPr>
    </w:p>
    <w:p w14:paraId="06F55CCC">
      <w:pPr>
        <w:pStyle w:val="3"/>
        <w:snapToGrid w:val="0"/>
        <w:spacing w:before="156" w:beforeLines="50" w:after="0" w:line="400" w:lineRule="exact"/>
        <w:ind w:firstLine="480" w:firstLineChars="200"/>
        <w:jc w:val="both"/>
        <w:rPr>
          <w:rFonts w:hint="eastAsia" w:ascii="黑体" w:hAnsi="Times New Roman"/>
          <w:sz w:val="24"/>
          <w:szCs w:val="21"/>
          <w:lang w:eastAsia="zh-CN"/>
        </w:rPr>
      </w:pPr>
      <w:bookmarkStart w:id="14" w:name="_Toc20663"/>
      <w:bookmarkStart w:id="15" w:name="_Toc25353"/>
      <w:bookmarkStart w:id="16" w:name="_Toc3673"/>
      <w:r>
        <w:rPr>
          <w:rFonts w:hint="eastAsia" w:ascii="黑体" w:hAnsi="Times New Roman"/>
          <w:sz w:val="24"/>
          <w:szCs w:val="21"/>
          <w:lang w:val="en-US" w:eastAsia="zh-CN"/>
        </w:rPr>
        <w:t>七</w:t>
      </w:r>
      <w:r>
        <w:rPr>
          <w:rFonts w:hint="eastAsia" w:ascii="黑体" w:hAnsi="Times New Roman"/>
          <w:sz w:val="24"/>
          <w:szCs w:val="21"/>
        </w:rPr>
        <w:t>、</w:t>
      </w:r>
      <w:bookmarkEnd w:id="14"/>
      <w:r>
        <w:rPr>
          <w:rFonts w:hint="eastAsia" w:ascii="黑体" w:hAnsi="Times New Roman"/>
          <w:sz w:val="24"/>
          <w:szCs w:val="21"/>
        </w:rPr>
        <w:t>课程设置与要求</w:t>
      </w:r>
      <w:bookmarkEnd w:id="15"/>
      <w:bookmarkEnd w:id="16"/>
    </w:p>
    <w:p w14:paraId="341FA2C0">
      <w:pPr>
        <w:pStyle w:val="3"/>
        <w:numPr>
          <w:ilvl w:val="0"/>
          <w:numId w:val="0"/>
        </w:numPr>
        <w:shd w:val="clear"/>
        <w:snapToGrid w:val="0"/>
        <w:spacing w:before="0" w:after="0" w:line="400" w:lineRule="exact"/>
        <w:ind w:firstLine="480" w:firstLineChars="200"/>
        <w:jc w:val="both"/>
        <w:rPr>
          <w:rFonts w:hint="default" w:ascii="楷体" w:hAnsi="楷体" w:eastAsia="楷体"/>
          <w:color w:val="auto"/>
          <w:sz w:val="24"/>
          <w:szCs w:val="24"/>
          <w:lang w:val="en-US" w:eastAsia="zh-CN"/>
        </w:rPr>
      </w:pPr>
      <w:bookmarkStart w:id="17" w:name="_Toc27371"/>
      <w:bookmarkStart w:id="18" w:name="_Toc4729"/>
      <w:bookmarkStart w:id="19" w:name="_Toc30489"/>
      <w:r>
        <w:rPr>
          <w:rFonts w:hint="eastAsia" w:ascii="楷体" w:hAnsi="楷体" w:eastAsia="楷体"/>
          <w:color w:val="auto"/>
          <w:sz w:val="24"/>
          <w:szCs w:val="24"/>
          <w:lang w:val="en-US" w:eastAsia="zh-CN"/>
        </w:rPr>
        <w:t>（一）课程体系</w:t>
      </w:r>
      <w:bookmarkEnd w:id="17"/>
      <w:bookmarkEnd w:id="18"/>
      <w:bookmarkEnd w:id="19"/>
    </w:p>
    <w:p w14:paraId="5899A51A">
      <w:pPr>
        <w:spacing w:before="29" w:line="324" w:lineRule="auto"/>
        <w:ind w:left="118" w:firstLine="636"/>
        <w:rPr>
          <w:rFonts w:hint="eastAsia" w:ascii="仿宋_GB2312" w:hAnsi="黑体"/>
          <w:szCs w:val="21"/>
        </w:rPr>
      </w:pPr>
      <w:r>
        <w:rPr>
          <w:rFonts w:hint="eastAsia" w:ascii="仿宋_GB2312" w:hAnsi="仿宋_GB2312" w:eastAsia="仿宋_GB2312" w:cs="仿宋_GB2312"/>
          <w:color w:val="auto"/>
          <w:spacing w:val="-2"/>
          <w:sz w:val="24"/>
          <w:szCs w:val="24"/>
          <w:highlight w:val="none"/>
        </w:rPr>
        <w:t>课程主要包括公共基础课程和专业课程。课程结构体系如下：</w:t>
      </w:r>
    </w:p>
    <w:p w14:paraId="77573FEA">
      <w:pPr>
        <w:pStyle w:val="2"/>
        <w:ind w:firstLine="0" w:firstLineChars="0"/>
        <w:jc w:val="center"/>
        <w:rPr>
          <w:rFonts w:hint="eastAsia" w:ascii="仿宋_GB2312" w:hAnsi="黑体"/>
          <w:szCs w:val="21"/>
        </w:rPr>
      </w:pPr>
      <w:r>
        <w:rPr>
          <w:sz w:val="24"/>
        </w:rPr>
        <mc:AlternateContent>
          <mc:Choice Requires="wpc">
            <w:drawing>
              <wp:inline distT="0" distB="0" distL="114300" distR="114300">
                <wp:extent cx="5142865" cy="7287895"/>
                <wp:effectExtent l="0" t="0" r="38735" b="0"/>
                <wp:docPr id="103" name="画布 103"/>
                <wp:cNvGraphicFramePr/>
                <a:graphic xmlns:a="http://schemas.openxmlformats.org/drawingml/2006/main">
                  <a:graphicData uri="http://schemas.microsoft.com/office/word/2010/wordprocessingCanvas">
                    <wpc:wpc>
                      <wpc:bg/>
                      <wpc:whole/>
                      <wps:wsp>
                        <wps:cNvPr id="1" name="矩形 105"/>
                        <wps:cNvSpPr/>
                        <wps:spPr>
                          <a:xfrm>
                            <a:off x="488950" y="179705"/>
                            <a:ext cx="4322445" cy="1671320"/>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 name="矩形 106"/>
                        <wps:cNvSpPr/>
                        <wps:spPr>
                          <a:xfrm>
                            <a:off x="1568450" y="28575"/>
                            <a:ext cx="2141220" cy="297815"/>
                          </a:xfrm>
                          <a:prstGeom prst="rect">
                            <a:avLst/>
                          </a:prstGeom>
                          <a:solidFill>
                            <a:schemeClr val="tx2">
                              <a:lumMod val="60000"/>
                              <a:lumOff val="40000"/>
                            </a:schemeClr>
                          </a:solidFill>
                          <a:ln>
                            <a:noFill/>
                          </a:ln>
                          <a:effectLst/>
                        </wps:spPr>
                        <wps:txbx>
                          <w:txbxContent>
                            <w:p w14:paraId="23774A02">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专业拓展模块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矩形 107"/>
                        <wps:cNvSpPr/>
                        <wps:spPr>
                          <a:xfrm>
                            <a:off x="624840" y="54546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B61AAA7">
                              <w:pPr>
                                <w:jc w:val="center"/>
                                <w:rPr>
                                  <w:rFonts w:asciiTheme="minorEastAsia" w:hAnsiTheme="minorEastAsia" w:cstheme="minorEastAsia"/>
                                  <w:b/>
                                  <w:bCs/>
                                </w:rPr>
                              </w:pPr>
                              <w:r>
                                <w:rPr>
                                  <w:rFonts w:hint="eastAsia" w:asciiTheme="minorEastAsia" w:hAnsiTheme="minorEastAsia" w:cstheme="minorEastAsia"/>
                                  <w:b/>
                                  <w:bCs/>
                                </w:rPr>
                                <w:t>金融认知</w:t>
                              </w:r>
                            </w:p>
                          </w:txbxContent>
                        </wps:txbx>
                        <wps:bodyPr rot="0" spcFirstLastPara="0" vertOverflow="overflow" horzOverflow="overflow" vert="horz" wrap="square" lIns="0" tIns="0" rIns="0" bIns="0" numCol="1" spcCol="0" rtlCol="0" fromWordArt="0" anchor="ctr" anchorCtr="0" forceAA="0" compatLnSpc="1">
                          <a:noAutofit/>
                        </wps:bodyPr>
                      </wps:wsp>
                      <wps:wsp>
                        <wps:cNvPr id="6" name="矩形 108"/>
                        <wps:cNvSpPr/>
                        <wps:spPr>
                          <a:xfrm>
                            <a:off x="2013585" y="54483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BF2B7CB">
                              <w:pPr>
                                <w:rPr>
                                  <w:rFonts w:asciiTheme="minorEastAsia" w:hAnsiTheme="minorEastAsia" w:cstheme="minorEastAsia"/>
                                  <w:b/>
                                  <w:bCs/>
                                </w:rPr>
                              </w:pPr>
                              <w:r>
                                <w:rPr>
                                  <w:rFonts w:hint="eastAsia" w:asciiTheme="minorEastAsia" w:hAnsiTheme="minorEastAsia" w:cstheme="minorEastAsia"/>
                                  <w:b/>
                                  <w:bCs/>
                                </w:rPr>
                                <w:t>场景化企业经营模</w:t>
                              </w:r>
                            </w:p>
                          </w:txbxContent>
                        </wps:txbx>
                        <wps:bodyPr rot="0" spcFirstLastPara="0" vertOverflow="overflow" horzOverflow="overflow" vert="horz" wrap="square" lIns="0" tIns="0" rIns="0" bIns="0" numCol="1" spcCol="0" rtlCol="0" fromWordArt="0" anchor="ctr" anchorCtr="0" forceAA="0" compatLnSpc="1">
                          <a:noAutofit/>
                        </wps:bodyPr>
                      </wps:wsp>
                      <wps:wsp>
                        <wps:cNvPr id="7" name="矩形 109"/>
                        <wps:cNvSpPr/>
                        <wps:spPr>
                          <a:xfrm>
                            <a:off x="3418205" y="55308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45DF62B">
                              <w:pPr>
                                <w:rPr>
                                  <w:rFonts w:asciiTheme="minorEastAsia" w:hAnsiTheme="minorEastAsia" w:cstheme="minorEastAsia"/>
                                  <w:b/>
                                  <w:bCs/>
                                </w:rPr>
                              </w:pPr>
                              <w:r>
                                <w:rPr>
                                  <w:rFonts w:hint="eastAsia" w:asciiTheme="minorEastAsia" w:hAnsiTheme="minorEastAsia" w:cstheme="minorEastAsia"/>
                                  <w:b/>
                                  <w:bCs/>
                                </w:rPr>
                                <w:t>财经法规与会计职业道德</w:t>
                              </w:r>
                            </w:p>
                          </w:txbxContent>
                        </wps:txbx>
                        <wps:bodyPr rot="0" spcFirstLastPara="0" vertOverflow="overflow" horzOverflow="overflow" vert="horz" wrap="square" lIns="0" tIns="0" rIns="0" bIns="0" numCol="1" spcCol="0" rtlCol="0" fromWordArt="0" anchor="ctr" anchorCtr="0" forceAA="0" compatLnSpc="1">
                          <a:noAutofit/>
                        </wps:bodyPr>
                      </wps:wsp>
                      <wps:wsp>
                        <wps:cNvPr id="8" name="矩形 110"/>
                        <wps:cNvSpPr/>
                        <wps:spPr>
                          <a:xfrm>
                            <a:off x="624205" y="88646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DF1264C">
                              <w:pPr>
                                <w:ind w:firstLine="211" w:firstLineChars="100"/>
                                <w:rPr>
                                  <w:rFonts w:asciiTheme="minorEastAsia" w:hAnsiTheme="minorEastAsia" w:cstheme="minorEastAsia"/>
                                  <w:b/>
                                  <w:bCs/>
                                </w:rPr>
                              </w:pPr>
                              <w:r>
                                <w:rPr>
                                  <w:rFonts w:hint="eastAsia" w:asciiTheme="minorEastAsia" w:hAnsiTheme="minorEastAsia" w:cstheme="minorEastAsia"/>
                                  <w:b/>
                                  <w:bCs/>
                                </w:rPr>
                                <w:t>大数据应用基础</w:t>
                              </w:r>
                            </w:p>
                          </w:txbxContent>
                        </wps:txbx>
                        <wps:bodyPr rot="0" spcFirstLastPara="0" vertOverflow="overflow" horzOverflow="overflow" vert="horz" wrap="square" lIns="0" tIns="0" rIns="0" bIns="0" numCol="1" spcCol="0" rtlCol="0" fromWordArt="0" anchor="ctr" anchorCtr="0" forceAA="0" compatLnSpc="1">
                          <a:noAutofit/>
                        </wps:bodyPr>
                      </wps:wsp>
                      <wps:wsp>
                        <wps:cNvPr id="9" name="矩形 111"/>
                        <wps:cNvSpPr/>
                        <wps:spPr>
                          <a:xfrm>
                            <a:off x="2012950" y="88582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251C760">
                              <w:pPr>
                                <w:ind w:firstLine="211" w:firstLineChars="100"/>
                                <w:rPr>
                                  <w:rFonts w:asciiTheme="minorEastAsia" w:hAnsiTheme="minorEastAsia" w:cstheme="minorEastAsia"/>
                                  <w:b/>
                                  <w:bCs/>
                                </w:rPr>
                              </w:pPr>
                              <w:r>
                                <w:rPr>
                                  <w:rFonts w:hint="eastAsia" w:asciiTheme="minorEastAsia" w:hAnsiTheme="minorEastAsia" w:cstheme="minorEastAsia"/>
                                  <w:b/>
                                  <w:bCs/>
                                </w:rPr>
                                <w:t>统计技术应用</w:t>
                              </w:r>
                            </w:p>
                          </w:txbxContent>
                        </wps:txbx>
                        <wps:bodyPr rot="0" spcFirstLastPara="0" vertOverflow="overflow" horzOverflow="overflow" vert="horz" wrap="square" lIns="0" tIns="0" rIns="0" bIns="0" numCol="1" spcCol="0" rtlCol="0" fromWordArt="0" anchor="ctr" anchorCtr="0" forceAA="0" compatLnSpc="1">
                          <a:noAutofit/>
                        </wps:bodyPr>
                      </wps:wsp>
                      <wps:wsp>
                        <wps:cNvPr id="10" name="矩形 112"/>
                        <wps:cNvSpPr/>
                        <wps:spPr>
                          <a:xfrm>
                            <a:off x="3417570" y="89408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4202E2A1">
                              <w:pPr>
                                <w:ind w:firstLine="211" w:firstLineChars="100"/>
                                <w:rPr>
                                  <w:rFonts w:asciiTheme="minorEastAsia" w:hAnsiTheme="minorEastAsia" w:cstheme="minorEastAsia"/>
                                  <w:b/>
                                  <w:bCs/>
                                </w:rPr>
                              </w:pPr>
                              <w:r>
                                <w:rPr>
                                  <w:rFonts w:hint="eastAsia" w:asciiTheme="minorEastAsia" w:hAnsiTheme="minorEastAsia" w:cstheme="minorEastAsia"/>
                                  <w:b/>
                                  <w:bCs/>
                                </w:rPr>
                                <w:t>财经文员事务</w:t>
                              </w:r>
                            </w:p>
                          </w:txbxContent>
                        </wps:txbx>
                        <wps:bodyPr rot="0" spcFirstLastPara="0" vertOverflow="overflow" horzOverflow="overflow" vert="horz" wrap="square" lIns="0" tIns="0" rIns="0" bIns="0" numCol="1" spcCol="0" rtlCol="0" fromWordArt="0" anchor="ctr" anchorCtr="0" forceAA="0" compatLnSpc="1">
                          <a:noAutofit/>
                        </wps:bodyPr>
                      </wps:wsp>
                      <wps:wsp>
                        <wps:cNvPr id="11" name="矩形 113"/>
                        <wps:cNvSpPr/>
                        <wps:spPr>
                          <a:xfrm>
                            <a:off x="624205" y="119634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3D5A7B6">
                              <w:pPr>
                                <w:jc w:val="center"/>
                                <w:rPr>
                                  <w:rFonts w:asciiTheme="minorEastAsia" w:hAnsiTheme="minorEastAsia" w:cstheme="minorEastAsia"/>
                                  <w:b/>
                                  <w:bCs/>
                                </w:rPr>
                              </w:pPr>
                              <w:r>
                                <w:rPr>
                                  <w:rFonts w:hint="eastAsia" w:asciiTheme="minorEastAsia" w:hAnsiTheme="minorEastAsia" w:cstheme="minorEastAsia"/>
                                  <w:b/>
                                  <w:bCs/>
                                </w:rPr>
                                <w:t>出纳实务</w:t>
                              </w:r>
                            </w:p>
                          </w:txbxContent>
                        </wps:txbx>
                        <wps:bodyPr rot="0" spcFirstLastPara="0" vertOverflow="overflow" horzOverflow="overflow" vert="horz" wrap="square" lIns="0" tIns="0" rIns="0" bIns="0" numCol="1" spcCol="0" rtlCol="0" fromWordArt="0" anchor="ctr" anchorCtr="0" forceAA="0" compatLnSpc="1">
                          <a:noAutofit/>
                        </wps:bodyPr>
                      </wps:wsp>
                      <wps:wsp>
                        <wps:cNvPr id="12" name="矩形 114"/>
                        <wps:cNvSpPr/>
                        <wps:spPr>
                          <a:xfrm>
                            <a:off x="2012950" y="119570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EAD80EB">
                              <w:pPr>
                                <w:jc w:val="center"/>
                                <w:rPr>
                                  <w:rFonts w:asciiTheme="minorEastAsia" w:hAnsiTheme="minorEastAsia" w:cstheme="minorEastAsia"/>
                                  <w:b/>
                                  <w:bCs/>
                                </w:rPr>
                              </w:pPr>
                              <w:r>
                                <w:rPr>
                                  <w:rFonts w:hint="eastAsia" w:asciiTheme="minorEastAsia" w:hAnsiTheme="minorEastAsia" w:cstheme="minorEastAsia"/>
                                  <w:b/>
                                  <w:bCs/>
                                </w:rPr>
                                <w:t>成本会计</w:t>
                              </w:r>
                            </w:p>
                          </w:txbxContent>
                        </wps:txbx>
                        <wps:bodyPr rot="0" spcFirstLastPara="0" vertOverflow="overflow" horzOverflow="overflow" vert="horz" wrap="square" lIns="0" tIns="0" rIns="0" bIns="0" numCol="1" spcCol="0" rtlCol="0" fromWordArt="0" anchor="ctr" anchorCtr="0" forceAA="0" compatLnSpc="1">
                          <a:noAutofit/>
                        </wps:bodyPr>
                      </wps:wsp>
                      <wps:wsp>
                        <wps:cNvPr id="13" name="矩形 115"/>
                        <wps:cNvSpPr/>
                        <wps:spPr>
                          <a:xfrm>
                            <a:off x="3417570" y="120396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C7D82A2">
                              <w:pPr>
                                <w:jc w:val="center"/>
                                <w:rPr>
                                  <w:rFonts w:asciiTheme="minorEastAsia" w:hAnsiTheme="minorEastAsia" w:cstheme="minorEastAsia"/>
                                  <w:b/>
                                  <w:bCs/>
                                </w:rPr>
                              </w:pPr>
                              <w:r>
                                <w:rPr>
                                  <w:rFonts w:hint="eastAsia" w:asciiTheme="minorEastAsia" w:hAnsiTheme="minorEastAsia" w:cstheme="minorEastAsia"/>
                                  <w:b/>
                                  <w:bCs/>
                                </w:rPr>
                                <w:t>财务机器人应用</w:t>
                              </w:r>
                            </w:p>
                          </w:txbxContent>
                        </wps:txbx>
                        <wps:bodyPr rot="0" spcFirstLastPara="0" vertOverflow="overflow" horzOverflow="overflow" vert="horz" wrap="square" lIns="0" tIns="0" rIns="0" bIns="0" numCol="1" spcCol="0" rtlCol="0" fromWordArt="0" anchor="ctr" anchorCtr="0" forceAA="0" compatLnSpc="1">
                          <a:noAutofit/>
                        </wps:bodyPr>
                      </wps:wsp>
                      <wps:wsp>
                        <wps:cNvPr id="14" name="矩形 116"/>
                        <wps:cNvSpPr/>
                        <wps:spPr>
                          <a:xfrm>
                            <a:off x="631825" y="1529715"/>
                            <a:ext cx="161607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0F890F27">
                              <w:pPr>
                                <w:rPr>
                                  <w:rFonts w:asciiTheme="minorEastAsia" w:hAnsiTheme="minorEastAsia" w:cstheme="minorEastAsia"/>
                                  <w:b/>
                                  <w:bCs/>
                                </w:rPr>
                              </w:pPr>
                              <w:r>
                                <w:rPr>
                                  <w:rFonts w:hint="eastAsia" w:asciiTheme="minorEastAsia" w:hAnsiTheme="minorEastAsia" w:cstheme="minorEastAsia"/>
                                  <w:b/>
                                  <w:bCs/>
                                </w:rPr>
                                <w:t>企业购销存业务与管理</w:t>
                              </w:r>
                            </w:p>
                          </w:txbxContent>
                        </wps:txbx>
                        <wps:bodyPr rot="0" spcFirstLastPara="0" vertOverflow="overflow" horzOverflow="overflow" vert="horz" wrap="square" lIns="0" tIns="0" rIns="0" bIns="0" numCol="1" spcCol="0" rtlCol="0" fromWordArt="0" anchor="ctr" anchorCtr="0" forceAA="0" compatLnSpc="1">
                          <a:noAutofit/>
                        </wps:bodyPr>
                      </wps:wsp>
                      <wps:wsp>
                        <wps:cNvPr id="15" name="矩形 119"/>
                        <wps:cNvSpPr/>
                        <wps:spPr>
                          <a:xfrm>
                            <a:off x="504825" y="2029460"/>
                            <a:ext cx="2592705" cy="1788795"/>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 name="矩形 120"/>
                        <wps:cNvSpPr/>
                        <wps:spPr>
                          <a:xfrm>
                            <a:off x="1242695" y="1871980"/>
                            <a:ext cx="1083945" cy="297815"/>
                          </a:xfrm>
                          <a:prstGeom prst="rect">
                            <a:avLst/>
                          </a:prstGeom>
                          <a:solidFill>
                            <a:schemeClr val="tx2">
                              <a:lumMod val="60000"/>
                              <a:lumOff val="40000"/>
                            </a:schemeClr>
                          </a:solidFill>
                          <a:ln>
                            <a:noFill/>
                          </a:ln>
                          <a:effectLst/>
                        </wps:spPr>
                        <wps:txbx>
                          <w:txbxContent>
                            <w:p w14:paraId="59CECB5C">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专业核心课程</w:t>
                              </w:r>
                            </w:p>
                          </w:txbxContent>
                        </wps:txbx>
                        <wps:bodyPr rot="0" spcFirstLastPara="0" vertOverflow="overflow" horzOverflow="overflow" vert="horz" wrap="square" lIns="0" tIns="0" rIns="0" bIns="0" numCol="1" spcCol="0" rtlCol="0" fromWordArt="0" anchor="ctr" anchorCtr="0" forceAA="0" compatLnSpc="1">
                          <a:noAutofit/>
                        </wps:bodyPr>
                      </wps:wsp>
                      <wps:wsp>
                        <wps:cNvPr id="17" name="矩形 121"/>
                        <wps:cNvSpPr/>
                        <wps:spPr>
                          <a:xfrm>
                            <a:off x="1196340" y="230759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F9A55DD">
                              <w:pPr>
                                <w:jc w:val="center"/>
                                <w:rPr>
                                  <w:rFonts w:asciiTheme="minorEastAsia" w:hAnsiTheme="minorEastAsia" w:cstheme="minorEastAsia"/>
                                  <w:b/>
                                  <w:bCs/>
                                </w:rPr>
                              </w:pPr>
                              <w:r>
                                <w:rPr>
                                  <w:rFonts w:hint="eastAsia" w:asciiTheme="minorEastAsia" w:hAnsiTheme="minorEastAsia" w:cstheme="minorEastAsia"/>
                                  <w:b/>
                                  <w:bCs/>
                                </w:rPr>
                                <w:t>企业财务会计</w:t>
                              </w:r>
                            </w:p>
                          </w:txbxContent>
                        </wps:txbx>
                        <wps:bodyPr rot="0" spcFirstLastPara="0" vertOverflow="overflow" horzOverflow="overflow" vert="horz" wrap="square" lIns="0" tIns="0" rIns="0" bIns="0" numCol="1" spcCol="0" rtlCol="0" fromWordArt="0" anchor="ctr" anchorCtr="0" forceAA="0" compatLnSpc="1">
                          <a:noAutofit/>
                        </wps:bodyPr>
                      </wps:wsp>
                      <wps:wsp>
                        <wps:cNvPr id="18" name="矩形 123"/>
                        <wps:cNvSpPr/>
                        <wps:spPr>
                          <a:xfrm>
                            <a:off x="3395980" y="2028190"/>
                            <a:ext cx="1426210" cy="1797685"/>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矩形 124"/>
                        <wps:cNvSpPr/>
                        <wps:spPr>
                          <a:xfrm>
                            <a:off x="3532505" y="1878965"/>
                            <a:ext cx="1083945" cy="297815"/>
                          </a:xfrm>
                          <a:prstGeom prst="rect">
                            <a:avLst/>
                          </a:prstGeom>
                          <a:solidFill>
                            <a:schemeClr val="tx2">
                              <a:lumMod val="60000"/>
                              <a:lumOff val="40000"/>
                            </a:schemeClr>
                          </a:solidFill>
                          <a:ln>
                            <a:noFill/>
                          </a:ln>
                          <a:effectLst/>
                        </wps:spPr>
                        <wps:txbx>
                          <w:txbxContent>
                            <w:p w14:paraId="1C345CFE">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实习实训模块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20" name="矩形 125"/>
                        <wps:cNvSpPr/>
                        <wps:spPr>
                          <a:xfrm>
                            <a:off x="3517265" y="228282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BE49904">
                              <w:pPr>
                                <w:jc w:val="center"/>
                                <w:rPr>
                                  <w:rFonts w:asciiTheme="minorEastAsia" w:hAnsiTheme="minorEastAsia" w:cstheme="minorEastAsia"/>
                                  <w:b/>
                                  <w:bCs/>
                                </w:rPr>
                              </w:pPr>
                              <w:r>
                                <w:rPr>
                                  <w:rFonts w:hint="eastAsia" w:asciiTheme="minorEastAsia" w:hAnsiTheme="minorEastAsia" w:cstheme="minorEastAsia"/>
                                  <w:b/>
                                  <w:bCs/>
                                </w:rPr>
                                <w:t>会计手工综合实训</w:t>
                              </w:r>
                            </w:p>
                          </w:txbxContent>
                        </wps:txbx>
                        <wps:bodyPr rot="0" spcFirstLastPara="0" vertOverflow="overflow" horzOverflow="overflow" vert="horz" wrap="square" lIns="0" tIns="0" rIns="0" bIns="0" numCol="1" spcCol="0" rtlCol="0" fromWordArt="0" anchor="ctr" anchorCtr="0" forceAA="0" compatLnSpc="1">
                          <a:noAutofit/>
                        </wps:bodyPr>
                      </wps:wsp>
                      <wps:wsp>
                        <wps:cNvPr id="21" name="矩形 126"/>
                        <wps:cNvSpPr/>
                        <wps:spPr>
                          <a:xfrm>
                            <a:off x="3521075" y="259334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21DBC15">
                              <w:pPr>
                                <w:jc w:val="center"/>
                                <w:rPr>
                                  <w:rFonts w:asciiTheme="minorEastAsia" w:hAnsiTheme="minorEastAsia" w:cstheme="minorEastAsia"/>
                                  <w:b/>
                                  <w:bCs/>
                                </w:rPr>
                              </w:pPr>
                              <w:r>
                                <w:rPr>
                                  <w:rFonts w:hint="eastAsia" w:asciiTheme="minorEastAsia" w:hAnsiTheme="minorEastAsia" w:cstheme="minorEastAsia"/>
                                  <w:b/>
                                  <w:bCs/>
                                </w:rPr>
                                <w:t>会计信息综合实训</w:t>
                              </w:r>
                            </w:p>
                          </w:txbxContent>
                        </wps:txbx>
                        <wps:bodyPr rot="0" spcFirstLastPara="0" vertOverflow="overflow" horzOverflow="overflow" vert="horz" wrap="square" lIns="0" tIns="0" rIns="0" bIns="0" numCol="1" spcCol="0" rtlCol="0" fromWordArt="0" anchor="ctr" anchorCtr="0" forceAA="0" compatLnSpc="1">
                          <a:noAutofit/>
                        </wps:bodyPr>
                      </wps:wsp>
                      <wps:wsp>
                        <wps:cNvPr id="24" name="矩形 134"/>
                        <wps:cNvSpPr/>
                        <wps:spPr>
                          <a:xfrm>
                            <a:off x="3521710" y="290195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D283F1C">
                              <w:pPr>
                                <w:jc w:val="center"/>
                                <w:rPr>
                                  <w:rFonts w:asciiTheme="minorEastAsia" w:hAnsiTheme="minorEastAsia" w:cstheme="minorEastAsia"/>
                                  <w:b/>
                                  <w:bCs/>
                                </w:rPr>
                              </w:pPr>
                              <w:r>
                                <w:rPr>
                                  <w:rFonts w:hint="eastAsia" w:asciiTheme="minorEastAsia" w:hAnsiTheme="minorEastAsia" w:cstheme="minorEastAsia"/>
                                  <w:b/>
                                  <w:bCs/>
                                </w:rPr>
                                <w:t>出纳岗位综合实训</w:t>
                              </w:r>
                            </w:p>
                          </w:txbxContent>
                        </wps:txbx>
                        <wps:bodyPr rot="0" spcFirstLastPara="0" vertOverflow="overflow" horzOverflow="overflow" vert="horz" wrap="square" lIns="0" tIns="0" rIns="0" bIns="0" numCol="1" spcCol="0" rtlCol="0" fromWordArt="0" anchor="ctr" anchorCtr="0" forceAA="0" compatLnSpc="1">
                          <a:noAutofit/>
                        </wps:bodyPr>
                      </wps:wsp>
                      <wps:wsp>
                        <wps:cNvPr id="25" name="矩形 135"/>
                        <wps:cNvSpPr/>
                        <wps:spPr>
                          <a:xfrm>
                            <a:off x="3529330" y="321119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75F1E01">
                              <w:pPr>
                                <w:jc w:val="center"/>
                                <w:rPr>
                                  <w:rFonts w:asciiTheme="minorEastAsia" w:hAnsiTheme="minorEastAsia" w:cstheme="minorEastAsia"/>
                                  <w:b/>
                                  <w:bCs/>
                                </w:rPr>
                              </w:pPr>
                              <w:r>
                                <w:rPr>
                                  <w:rFonts w:hint="eastAsia" w:asciiTheme="minorEastAsia" w:hAnsiTheme="minorEastAsia" w:cstheme="minorEastAsia"/>
                                  <w:b/>
                                  <w:bCs/>
                                </w:rPr>
                                <w:t>纳税申报综合实训</w:t>
                              </w:r>
                            </w:p>
                          </w:txbxContent>
                        </wps:txbx>
                        <wps:bodyPr rot="0" spcFirstLastPara="0" vertOverflow="overflow" horzOverflow="overflow" vert="horz" wrap="square" lIns="0" tIns="0" rIns="0" bIns="0" numCol="1" spcCol="0" rtlCol="0" fromWordArt="0" anchor="ctr" anchorCtr="0" forceAA="0" compatLnSpc="1">
                          <a:noAutofit/>
                        </wps:bodyPr>
                      </wps:wsp>
                      <wps:wsp>
                        <wps:cNvPr id="26" name="矩形 136"/>
                        <wps:cNvSpPr/>
                        <wps:spPr>
                          <a:xfrm>
                            <a:off x="3537585" y="351282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272C0C6">
                              <w:pPr>
                                <w:jc w:val="center"/>
                                <w:rPr>
                                  <w:rFonts w:asciiTheme="minorEastAsia" w:hAnsiTheme="minorEastAsia" w:cstheme="minorEastAsia"/>
                                  <w:b/>
                                  <w:bCs/>
                                </w:rPr>
                              </w:pPr>
                              <w:r>
                                <w:rPr>
                                  <w:rFonts w:hint="eastAsia" w:asciiTheme="minorEastAsia" w:hAnsiTheme="minorEastAsia" w:cstheme="minorEastAsia"/>
                                  <w:b/>
                                  <w:bCs/>
                                </w:rPr>
                                <w:t>岗位实习</w:t>
                              </w:r>
                            </w:p>
                          </w:txbxContent>
                        </wps:txbx>
                        <wps:bodyPr rot="0" spcFirstLastPara="0" vertOverflow="overflow" horzOverflow="overflow" vert="horz" wrap="square" lIns="0" tIns="0" rIns="0" bIns="0" numCol="1" spcCol="0" rtlCol="0" fromWordArt="0" anchor="ctr" anchorCtr="0" forceAA="0" compatLnSpc="1">
                          <a:noAutofit/>
                        </wps:bodyPr>
                      </wps:wsp>
                      <wps:wsp>
                        <wps:cNvPr id="27" name="矩形 137"/>
                        <wps:cNvSpPr/>
                        <wps:spPr>
                          <a:xfrm>
                            <a:off x="1194435" y="260858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1DABBE1">
                              <w:pPr>
                                <w:jc w:val="center"/>
                                <w:rPr>
                                  <w:rFonts w:asciiTheme="minorEastAsia" w:hAnsiTheme="minorEastAsia" w:cstheme="minorEastAsia"/>
                                  <w:b/>
                                  <w:bCs/>
                                </w:rPr>
                              </w:pPr>
                              <w:r>
                                <w:rPr>
                                  <w:rFonts w:hint="eastAsia" w:asciiTheme="minorEastAsia" w:hAnsiTheme="minorEastAsia" w:cstheme="minorEastAsia"/>
                                  <w:b/>
                                  <w:bCs/>
                                </w:rPr>
                                <w:t>税收基础</w:t>
                              </w:r>
                            </w:p>
                          </w:txbxContent>
                        </wps:txbx>
                        <wps:bodyPr rot="0" spcFirstLastPara="0" vertOverflow="overflow" horzOverflow="overflow" vert="horz" wrap="square" lIns="0" tIns="0" rIns="0" bIns="0" numCol="1" spcCol="0" rtlCol="0" fromWordArt="0" anchor="ctr" anchorCtr="0" forceAA="0" compatLnSpc="1">
                          <a:noAutofit/>
                        </wps:bodyPr>
                      </wps:wsp>
                      <wps:wsp>
                        <wps:cNvPr id="28" name="矩形 139"/>
                        <wps:cNvSpPr/>
                        <wps:spPr>
                          <a:xfrm>
                            <a:off x="1195705" y="291020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666AB04">
                              <w:pPr>
                                <w:jc w:val="center"/>
                                <w:rPr>
                                  <w:rFonts w:asciiTheme="minorEastAsia" w:hAnsiTheme="minorEastAsia" w:cstheme="minorEastAsia"/>
                                  <w:b/>
                                  <w:bCs/>
                                </w:rPr>
                              </w:pPr>
                              <w:r>
                                <w:rPr>
                                  <w:rFonts w:hint="eastAsia" w:asciiTheme="minorEastAsia" w:hAnsiTheme="minorEastAsia" w:cstheme="minorEastAsia"/>
                                  <w:b/>
                                  <w:bCs/>
                                </w:rPr>
                                <w:t>纳税实务</w:t>
                              </w:r>
                            </w:p>
                          </w:txbxContent>
                        </wps:txbx>
                        <wps:bodyPr rot="0" spcFirstLastPara="0" vertOverflow="overflow" horzOverflow="overflow" vert="horz" wrap="square" lIns="0" tIns="0" rIns="0" bIns="0" numCol="1" spcCol="0" rtlCol="0" fromWordArt="0" anchor="ctr" anchorCtr="0" forceAA="0" compatLnSpc="1">
                          <a:noAutofit/>
                        </wps:bodyPr>
                      </wps:wsp>
                      <wps:wsp>
                        <wps:cNvPr id="29" name="矩形 141"/>
                        <wps:cNvSpPr/>
                        <wps:spPr>
                          <a:xfrm>
                            <a:off x="1211580" y="322834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8B6851B">
                              <w:pPr>
                                <w:jc w:val="center"/>
                                <w:rPr>
                                  <w:rFonts w:asciiTheme="minorEastAsia" w:hAnsiTheme="minorEastAsia" w:cstheme="minorEastAsia"/>
                                  <w:b/>
                                  <w:bCs/>
                                </w:rPr>
                              </w:pPr>
                              <w:r>
                                <w:rPr>
                                  <w:rFonts w:hint="eastAsia" w:asciiTheme="minorEastAsia" w:hAnsiTheme="minorEastAsia" w:cstheme="minorEastAsia"/>
                                  <w:b/>
                                  <w:bCs/>
                                </w:rPr>
                                <w:t>会计电算化</w:t>
                              </w:r>
                            </w:p>
                          </w:txbxContent>
                        </wps:txbx>
                        <wps:bodyPr rot="0" spcFirstLastPara="0" vertOverflow="overflow" horzOverflow="overflow" vert="horz" wrap="square" lIns="0" tIns="0" rIns="0" bIns="0" numCol="1" spcCol="0" rtlCol="0" fromWordArt="0" anchor="ctr" anchorCtr="0" forceAA="0" compatLnSpc="1">
                          <a:noAutofit/>
                        </wps:bodyPr>
                      </wps:wsp>
                      <wps:wsp>
                        <wps:cNvPr id="30" name="矩形 143"/>
                        <wps:cNvSpPr/>
                        <wps:spPr>
                          <a:xfrm>
                            <a:off x="513080" y="4077335"/>
                            <a:ext cx="4322445" cy="727710"/>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1" name="矩形 144"/>
                        <wps:cNvSpPr/>
                        <wps:spPr>
                          <a:xfrm>
                            <a:off x="1592580" y="3926205"/>
                            <a:ext cx="2141220" cy="297815"/>
                          </a:xfrm>
                          <a:prstGeom prst="rect">
                            <a:avLst/>
                          </a:prstGeom>
                          <a:solidFill>
                            <a:schemeClr val="tx2">
                              <a:lumMod val="60000"/>
                              <a:lumOff val="40000"/>
                            </a:schemeClr>
                          </a:solidFill>
                          <a:ln>
                            <a:noFill/>
                          </a:ln>
                          <a:effectLst/>
                        </wps:spPr>
                        <wps:txbx>
                          <w:txbxContent>
                            <w:p w14:paraId="0CA92388">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专业基础模块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32" name="矩形 145"/>
                        <wps:cNvSpPr/>
                        <wps:spPr>
                          <a:xfrm>
                            <a:off x="671830" y="438721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A49C168">
                              <w:pPr>
                                <w:ind w:firstLine="632" w:firstLineChars="300"/>
                                <w:rPr>
                                  <w:rFonts w:asciiTheme="minorEastAsia" w:hAnsiTheme="minorEastAsia" w:cstheme="minorEastAsia"/>
                                  <w:b/>
                                  <w:bCs/>
                                </w:rPr>
                              </w:pPr>
                              <w:r>
                                <w:rPr>
                                  <w:rFonts w:hint="eastAsia" w:asciiTheme="minorEastAsia" w:hAnsiTheme="minorEastAsia" w:cstheme="minorEastAsia"/>
                                  <w:b/>
                                  <w:bCs/>
                                </w:rPr>
                                <w:t>会计基础</w:t>
                              </w:r>
                            </w:p>
                          </w:txbxContent>
                        </wps:txbx>
                        <wps:bodyPr rot="0" spcFirstLastPara="0" vertOverflow="overflow" horzOverflow="overflow" vert="horz" wrap="square" lIns="0" tIns="0" rIns="0" bIns="0" numCol="1" spcCol="0" rtlCol="0" fromWordArt="0" anchor="ctr" anchorCtr="0" forceAA="0" compatLnSpc="1">
                          <a:noAutofit/>
                        </wps:bodyPr>
                      </wps:wsp>
                      <wps:wsp>
                        <wps:cNvPr id="33" name="矩形 146"/>
                        <wps:cNvSpPr/>
                        <wps:spPr>
                          <a:xfrm>
                            <a:off x="2060575" y="4386580"/>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EB2C282">
                              <w:pPr>
                                <w:jc w:val="center"/>
                                <w:rPr>
                                  <w:rFonts w:asciiTheme="minorEastAsia" w:hAnsiTheme="minorEastAsia" w:cstheme="minorEastAsia"/>
                                  <w:b/>
                                  <w:bCs/>
                                </w:rPr>
                              </w:pPr>
                              <w:r>
                                <w:rPr>
                                  <w:rFonts w:hint="eastAsia" w:asciiTheme="minorEastAsia" w:hAnsiTheme="minorEastAsia" w:cstheme="minorEastAsia"/>
                                  <w:b/>
                                  <w:bCs/>
                                </w:rPr>
                                <w:t>金融基础</w:t>
                              </w:r>
                            </w:p>
                            <w:p w14:paraId="24FFBFF7"/>
                          </w:txbxContent>
                        </wps:txbx>
                        <wps:bodyPr rot="0" spcFirstLastPara="0" vertOverflow="overflow" horzOverflow="overflow" vert="horz" wrap="square" lIns="0" tIns="0" rIns="0" bIns="0" numCol="1" spcCol="0" rtlCol="0" fromWordArt="0" anchor="ctr" anchorCtr="0" forceAA="0" compatLnSpc="1">
                          <a:noAutofit/>
                        </wps:bodyPr>
                      </wps:wsp>
                      <wps:wsp>
                        <wps:cNvPr id="34" name="矩形 147"/>
                        <wps:cNvSpPr/>
                        <wps:spPr>
                          <a:xfrm>
                            <a:off x="3465195" y="4394835"/>
                            <a:ext cx="120396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F7E3B81">
                              <w:pPr>
                                <w:jc w:val="center"/>
                                <w:rPr>
                                  <w:rFonts w:asciiTheme="minorEastAsia" w:hAnsiTheme="minorEastAsia" w:cstheme="minorEastAsia"/>
                                  <w:b/>
                                  <w:bCs/>
                                </w:rPr>
                              </w:pPr>
                              <w:r>
                                <w:rPr>
                                  <w:rFonts w:hint="eastAsia" w:asciiTheme="minorEastAsia" w:hAnsiTheme="minorEastAsia" w:cstheme="minorEastAsia"/>
                                  <w:b/>
                                  <w:bCs/>
                                </w:rPr>
                                <w:t>经济法基础</w:t>
                              </w:r>
                            </w:p>
                          </w:txbxContent>
                        </wps:txbx>
                        <wps:bodyPr rot="0" spcFirstLastPara="0" vertOverflow="overflow" horzOverflow="overflow" vert="horz" wrap="square" lIns="0" tIns="0" rIns="0" bIns="0" numCol="1" spcCol="0" rtlCol="0" fromWordArt="0" anchor="ctr" anchorCtr="0" forceAA="0" compatLnSpc="1">
                          <a:noAutofit/>
                        </wps:bodyPr>
                      </wps:wsp>
                      <wps:wsp>
                        <wps:cNvPr id="35" name="矩形 153"/>
                        <wps:cNvSpPr/>
                        <wps:spPr>
                          <a:xfrm>
                            <a:off x="521335" y="5013960"/>
                            <a:ext cx="4330065" cy="2225675"/>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6" name="矩形 154"/>
                        <wps:cNvSpPr/>
                        <wps:spPr>
                          <a:xfrm>
                            <a:off x="2139950" y="4840605"/>
                            <a:ext cx="1083945" cy="297815"/>
                          </a:xfrm>
                          <a:prstGeom prst="rect">
                            <a:avLst/>
                          </a:prstGeom>
                          <a:solidFill>
                            <a:schemeClr val="tx2">
                              <a:lumMod val="60000"/>
                              <a:lumOff val="40000"/>
                            </a:schemeClr>
                          </a:solidFill>
                          <a:ln>
                            <a:noFill/>
                          </a:ln>
                          <a:effectLst/>
                        </wps:spPr>
                        <wps:txbx>
                          <w:txbxContent>
                            <w:p w14:paraId="6201D794">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公共基础模块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37" name="矩形 164"/>
                        <wps:cNvSpPr/>
                        <wps:spPr>
                          <a:xfrm>
                            <a:off x="564515" y="5339080"/>
                            <a:ext cx="2093595" cy="1816100"/>
                          </a:xfrm>
                          <a:prstGeom prst="rect">
                            <a:avLst/>
                          </a:prstGeom>
                          <a:no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8" name="矩形 165"/>
                        <wps:cNvSpPr/>
                        <wps:spPr>
                          <a:xfrm>
                            <a:off x="1076960" y="5201285"/>
                            <a:ext cx="949325" cy="267970"/>
                          </a:xfrm>
                          <a:prstGeom prst="rect">
                            <a:avLst/>
                          </a:prstGeom>
                          <a:solidFill>
                            <a:schemeClr val="tx2">
                              <a:lumMod val="60000"/>
                              <a:lumOff val="40000"/>
                            </a:schemeClr>
                          </a:solidFill>
                          <a:ln>
                            <a:noFill/>
                          </a:ln>
                          <a:effectLst/>
                        </wps:spPr>
                        <wps:txbx>
                          <w:txbxContent>
                            <w:p w14:paraId="12CEBFBA">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必修模块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39" name="矩形 168"/>
                        <wps:cNvSpPr/>
                        <wps:spPr>
                          <a:xfrm>
                            <a:off x="584835" y="556133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42CA6E71">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中国特色社会主义</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矩形 169"/>
                        <wps:cNvSpPr/>
                        <wps:spPr>
                          <a:xfrm>
                            <a:off x="1632585" y="556133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0870E84">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心理健康与职业生涯</w:t>
                              </w:r>
                            </w:p>
                          </w:txbxContent>
                        </wps:txbx>
                        <wps:bodyPr rot="0" spcFirstLastPara="0" vertOverflow="overflow" horzOverflow="overflow" vert="horz" wrap="square" lIns="0" tIns="0" rIns="0" bIns="0" numCol="1" spcCol="0" rtlCol="0" fromWordArt="0" anchor="ctr" anchorCtr="0" forceAA="0" compatLnSpc="1">
                          <a:noAutofit/>
                        </wps:bodyPr>
                      </wps:wsp>
                      <wps:wsp>
                        <wps:cNvPr id="41" name="矩形 170"/>
                        <wps:cNvSpPr/>
                        <wps:spPr>
                          <a:xfrm>
                            <a:off x="584200" y="587883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22CEA9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哲学与人生</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矩形 171"/>
                        <wps:cNvSpPr/>
                        <wps:spPr>
                          <a:xfrm>
                            <a:off x="1631950" y="587883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730D48C">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职业道德与法治</w:t>
                              </w:r>
                            </w:p>
                          </w:txbxContent>
                        </wps:txbx>
                        <wps:bodyPr rot="0" spcFirstLastPara="0" vertOverflow="overflow" horzOverflow="overflow" vert="horz" wrap="square" lIns="0" tIns="0" rIns="0" bIns="0" numCol="1" spcCol="0" rtlCol="0" fromWordArt="0" anchor="ctr" anchorCtr="0" forceAA="0" compatLnSpc="1">
                          <a:noAutofit/>
                        </wps:bodyPr>
                      </wps:wsp>
                      <wps:wsp>
                        <wps:cNvPr id="43" name="矩形 172"/>
                        <wps:cNvSpPr/>
                        <wps:spPr>
                          <a:xfrm>
                            <a:off x="577215" y="6204585"/>
                            <a:ext cx="6502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E0AB22C">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语文</w:t>
                              </w:r>
                            </w:p>
                          </w:txbxContent>
                        </wps:txbx>
                        <wps:bodyPr rot="0" spcFirstLastPara="0" vertOverflow="overflow" horzOverflow="overflow" vert="horz" wrap="square" lIns="0" tIns="0" rIns="0" bIns="0" numCol="1" spcCol="0" rtlCol="0" fromWordArt="0" anchor="ctr" anchorCtr="0" forceAA="0" compatLnSpc="1">
                          <a:noAutofit/>
                        </wps:bodyPr>
                      </wps:wsp>
                      <wps:wsp>
                        <wps:cNvPr id="44" name="矩形 174"/>
                        <wps:cNvSpPr/>
                        <wps:spPr>
                          <a:xfrm>
                            <a:off x="1259205" y="6205220"/>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0B7510F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历史</w:t>
                              </w:r>
                            </w:p>
                          </w:txbxContent>
                        </wps:txbx>
                        <wps:bodyPr rot="0" spcFirstLastPara="0" vertOverflow="overflow" horzOverflow="overflow" vert="horz" wrap="square" lIns="0" tIns="0" rIns="0" bIns="0" numCol="1" spcCol="0" rtlCol="0" fromWordArt="0" anchor="ctr" anchorCtr="0" forceAA="0" compatLnSpc="1">
                          <a:noAutofit/>
                        </wps:bodyPr>
                      </wps:wsp>
                      <wps:wsp>
                        <wps:cNvPr id="45" name="矩形 175"/>
                        <wps:cNvSpPr/>
                        <wps:spPr>
                          <a:xfrm>
                            <a:off x="1958340" y="6203950"/>
                            <a:ext cx="68897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E819D12">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数学</w:t>
                              </w:r>
                            </w:p>
                          </w:txbxContent>
                        </wps:txbx>
                        <wps:bodyPr rot="0" spcFirstLastPara="0" vertOverflow="overflow" horzOverflow="overflow" vert="horz" wrap="square" lIns="0" tIns="0" rIns="0" bIns="0" numCol="1" spcCol="0" rtlCol="0" fromWordArt="0" anchor="ctr" anchorCtr="0" forceAA="0" compatLnSpc="1">
                          <a:noAutofit/>
                        </wps:bodyPr>
                      </wps:wsp>
                      <wps:wsp>
                        <wps:cNvPr id="46" name="矩形 176"/>
                        <wps:cNvSpPr/>
                        <wps:spPr>
                          <a:xfrm>
                            <a:off x="584200" y="6514465"/>
                            <a:ext cx="6502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0CCFAA19">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英语</w:t>
                              </w:r>
                            </w:p>
                          </w:txbxContent>
                        </wps:txbx>
                        <wps:bodyPr rot="0" spcFirstLastPara="0" vertOverflow="overflow" horzOverflow="overflow" vert="horz" wrap="square" lIns="0" tIns="0" rIns="0" bIns="0" numCol="1" spcCol="0" rtlCol="0" fromWordArt="0" anchor="ctr" anchorCtr="0" forceAA="0" compatLnSpc="1">
                          <a:noAutofit/>
                        </wps:bodyPr>
                      </wps:wsp>
                      <wps:wsp>
                        <wps:cNvPr id="47" name="矩形 177"/>
                        <wps:cNvSpPr/>
                        <wps:spPr>
                          <a:xfrm>
                            <a:off x="1266190" y="6515100"/>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C4BE83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信息技术</w:t>
                              </w:r>
                            </w:p>
                          </w:txbxContent>
                        </wps:txbx>
                        <wps:bodyPr rot="0" spcFirstLastPara="0" vertOverflow="overflow" horzOverflow="overflow" vert="horz" wrap="square" lIns="0" tIns="0" rIns="0" bIns="0" numCol="1" spcCol="0" rtlCol="0" fromWordArt="0" anchor="ctr" anchorCtr="0" forceAA="0" compatLnSpc="1">
                          <a:noAutofit/>
                        </wps:bodyPr>
                      </wps:wsp>
                      <wps:wsp>
                        <wps:cNvPr id="48" name="矩形 178"/>
                        <wps:cNvSpPr/>
                        <wps:spPr>
                          <a:xfrm>
                            <a:off x="1965325" y="6513830"/>
                            <a:ext cx="68897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DDC3DE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体育与健康</w:t>
                              </w:r>
                            </w:p>
                            <w:p w14:paraId="2171D4B4">
                              <w:pPr>
                                <w:jc w:val="center"/>
                                <w:rPr>
                                  <w:rFonts w:asciiTheme="minorEastAsia" w:hAnsiTheme="minorEastAsia" w:cstheme="minorEastAsia"/>
                                  <w:b/>
                                  <w:bCs/>
                                  <w:sz w:val="16"/>
                                  <w:szCs w:val="18"/>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9" name="矩形 179"/>
                        <wps:cNvSpPr/>
                        <wps:spPr>
                          <a:xfrm>
                            <a:off x="583565" y="6832600"/>
                            <a:ext cx="6502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9657D6D">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艺术</w:t>
                              </w:r>
                            </w:p>
                          </w:txbxContent>
                        </wps:txbx>
                        <wps:bodyPr rot="0" spcFirstLastPara="0" vertOverflow="overflow" horzOverflow="overflow" vert="horz" wrap="square" lIns="0" tIns="0" rIns="0" bIns="0" numCol="1" spcCol="0" rtlCol="0" fromWordArt="0" anchor="ctr" anchorCtr="0" forceAA="0" compatLnSpc="1">
                          <a:noAutofit/>
                        </wps:bodyPr>
                      </wps:wsp>
                      <wps:wsp>
                        <wps:cNvPr id="50" name="矩形 180"/>
                        <wps:cNvSpPr/>
                        <wps:spPr>
                          <a:xfrm>
                            <a:off x="1265555" y="6833235"/>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31C515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劳动教育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51" name="矩形 182"/>
                        <wps:cNvSpPr/>
                        <wps:spPr>
                          <a:xfrm>
                            <a:off x="2727960" y="5342890"/>
                            <a:ext cx="2093595" cy="1816100"/>
                          </a:xfrm>
                          <a:prstGeom prst="rect">
                            <a:avLst/>
                          </a:prstGeom>
                          <a:no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矩形 183"/>
                        <wps:cNvSpPr/>
                        <wps:spPr>
                          <a:xfrm>
                            <a:off x="3240405" y="5205095"/>
                            <a:ext cx="949325" cy="267970"/>
                          </a:xfrm>
                          <a:prstGeom prst="rect">
                            <a:avLst/>
                          </a:prstGeom>
                          <a:solidFill>
                            <a:schemeClr val="tx2">
                              <a:lumMod val="60000"/>
                              <a:lumOff val="40000"/>
                            </a:schemeClr>
                          </a:solidFill>
                          <a:ln>
                            <a:noFill/>
                          </a:ln>
                          <a:effectLst/>
                        </wps:spPr>
                        <wps:txbx>
                          <w:txbxContent>
                            <w:p w14:paraId="31A9B6B6">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选修模块</w:t>
                              </w:r>
                            </w:p>
                          </w:txbxContent>
                        </wps:txbx>
                        <wps:bodyPr rot="0" spcFirstLastPara="0" vertOverflow="overflow" horzOverflow="overflow" vert="horz" wrap="square" lIns="0" tIns="0" rIns="0" bIns="0" numCol="1" spcCol="0" rtlCol="0" fromWordArt="0" anchor="ctr" anchorCtr="0" forceAA="0" compatLnSpc="1">
                          <a:noAutofit/>
                        </wps:bodyPr>
                      </wps:wsp>
                      <wps:wsp>
                        <wps:cNvPr id="53" name="矩形 184"/>
                        <wps:cNvSpPr/>
                        <wps:spPr>
                          <a:xfrm>
                            <a:off x="2748280" y="5565140"/>
                            <a:ext cx="206946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95FD81F">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习近平新时代中国特色社会主义思想概论</w:t>
                              </w:r>
                            </w:p>
                          </w:txbxContent>
                        </wps:txbx>
                        <wps:bodyPr rot="0" spcFirstLastPara="0" vertOverflow="overflow" horzOverflow="overflow" vert="horz" wrap="square" lIns="0" tIns="0" rIns="0" bIns="0" numCol="1" spcCol="0" rtlCol="0" fromWordArt="0" anchor="ctr" anchorCtr="0" forceAA="0" compatLnSpc="1">
                          <a:noAutofit/>
                        </wps:bodyPr>
                      </wps:wsp>
                      <wps:wsp>
                        <wps:cNvPr id="54" name="矩形 186"/>
                        <wps:cNvSpPr/>
                        <wps:spPr>
                          <a:xfrm>
                            <a:off x="2747645" y="588264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4DE32DB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中华优秀传统文化</w:t>
                              </w:r>
                            </w:p>
                          </w:txbxContent>
                        </wps:txbx>
                        <wps:bodyPr rot="0" spcFirstLastPara="0" vertOverflow="overflow" horzOverflow="overflow" vert="horz" wrap="square" lIns="0" tIns="0" rIns="0" bIns="0" numCol="1" spcCol="0" rtlCol="0" fromWordArt="0" anchor="ctr" anchorCtr="0" forceAA="0" compatLnSpc="1">
                          <a:noAutofit/>
                        </wps:bodyPr>
                      </wps:wsp>
                      <wps:wsp>
                        <wps:cNvPr id="55" name="矩形 187"/>
                        <wps:cNvSpPr/>
                        <wps:spPr>
                          <a:xfrm>
                            <a:off x="3795395" y="5882640"/>
                            <a:ext cx="101409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71BCB17">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四史教育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56" name="矩形 188"/>
                        <wps:cNvSpPr/>
                        <wps:spPr>
                          <a:xfrm>
                            <a:off x="2740660" y="6200775"/>
                            <a:ext cx="10312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C567199">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职业素养</w:t>
                              </w:r>
                            </w:p>
                          </w:txbxContent>
                        </wps:txbx>
                        <wps:bodyPr rot="0" spcFirstLastPara="0" vertOverflow="overflow" horzOverflow="overflow" vert="horz" wrap="square" lIns="0" tIns="0" rIns="0" bIns="0" numCol="1" spcCol="0" rtlCol="0" fromWordArt="0" anchor="ctr" anchorCtr="0" forceAA="0" compatLnSpc="1">
                          <a:noAutofit/>
                        </wps:bodyPr>
                      </wps:wsp>
                      <wps:wsp>
                        <wps:cNvPr id="57" name="矩形 189"/>
                        <wps:cNvSpPr/>
                        <wps:spPr>
                          <a:xfrm>
                            <a:off x="3803650" y="6200775"/>
                            <a:ext cx="101219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4FEB523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创新创业教育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58" name="矩形 191"/>
                        <wps:cNvSpPr/>
                        <wps:spPr>
                          <a:xfrm>
                            <a:off x="2747645" y="6518275"/>
                            <a:ext cx="6502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870A566">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安全教育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59" name="矩形 192"/>
                        <wps:cNvSpPr/>
                        <wps:spPr>
                          <a:xfrm>
                            <a:off x="3429635" y="6518910"/>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3D382305">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健康教育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60" name="矩形 193"/>
                        <wps:cNvSpPr/>
                        <wps:spPr>
                          <a:xfrm>
                            <a:off x="4128770" y="6517640"/>
                            <a:ext cx="688975"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56886534">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环保教育</w:t>
                              </w:r>
                            </w:p>
                          </w:txbxContent>
                        </wps:txbx>
                        <wps:bodyPr rot="0" spcFirstLastPara="0" vertOverflow="overflow" horzOverflow="overflow" vert="horz" wrap="square" lIns="0" tIns="0" rIns="0" bIns="0" numCol="1" spcCol="0" rtlCol="0" fromWordArt="0" anchor="ctr" anchorCtr="0" forceAA="0" compatLnSpc="1">
                          <a:noAutofit/>
                        </wps:bodyPr>
                      </wps:wsp>
                      <wps:wsp>
                        <wps:cNvPr id="61" name="矩形 195"/>
                        <wps:cNvSpPr/>
                        <wps:spPr>
                          <a:xfrm>
                            <a:off x="2762250" y="6837045"/>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4E331FB">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海洋科学</w:t>
                              </w:r>
                            </w:p>
                          </w:txbxContent>
                        </wps:txbx>
                        <wps:bodyPr rot="0" spcFirstLastPara="0" vertOverflow="overflow" horzOverflow="overflow" vert="horz" wrap="square" lIns="0" tIns="0" rIns="0" bIns="0" numCol="1" spcCol="0" rtlCol="0" fromWordArt="0" anchor="ctr" anchorCtr="0" forceAA="0" compatLnSpc="1">
                          <a:noAutofit/>
                        </wps:bodyPr>
                      </wps:wsp>
                      <wps:wsp>
                        <wps:cNvPr id="62" name="矩形 197"/>
                        <wps:cNvSpPr/>
                        <wps:spPr>
                          <a:xfrm>
                            <a:off x="4967605" y="2247900"/>
                            <a:ext cx="203200" cy="2996565"/>
                          </a:xfrm>
                          <a:prstGeom prst="rect">
                            <a:avLst/>
                          </a:prstGeom>
                          <a:solidFill>
                            <a:schemeClr val="tx2">
                              <a:lumMod val="60000"/>
                              <a:lumOff val="40000"/>
                            </a:schemeClr>
                          </a:solidFill>
                          <a:ln w="12700" cap="flat" cmpd="sng" algn="ctr">
                            <a:noFill/>
                            <a:prstDash val="solid"/>
                            <a:miter lim="800000"/>
                          </a:ln>
                          <a:effectLst/>
                        </wps:spPr>
                        <wps:txbx>
                          <w:txbxContent>
                            <w:p w14:paraId="2712963B">
                              <w:pPr>
                                <w:spacing w:line="240" w:lineRule="exact"/>
                                <w:jc w:val="center"/>
                                <w:rPr>
                                  <w:rFonts w:hint="default" w:eastAsiaTheme="minorEastAsia"/>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岗课赛证四维融通</w:t>
                              </w:r>
                            </w:p>
                          </w:txbxContent>
                        </wps:txbx>
                        <wps:bodyPr rot="0" spcFirstLastPara="0" vertOverflow="overflow" horzOverflow="overflow" vert="horz" wrap="square" lIns="0" tIns="0" rIns="0" bIns="0" numCol="1" spcCol="0" rtlCol="0" fromWordArt="0" anchor="ctr" anchorCtr="0" forceAA="0" compatLnSpc="1">
                          <a:noAutofit/>
                        </wps:bodyPr>
                      </wps:wsp>
                      <wps:wsp>
                        <wps:cNvPr id="63" name="矩形 198"/>
                        <wps:cNvSpPr/>
                        <wps:spPr>
                          <a:xfrm>
                            <a:off x="127000" y="2279650"/>
                            <a:ext cx="203200" cy="2996565"/>
                          </a:xfrm>
                          <a:prstGeom prst="rect">
                            <a:avLst/>
                          </a:prstGeom>
                          <a:solidFill>
                            <a:schemeClr val="tx2">
                              <a:lumMod val="60000"/>
                              <a:lumOff val="40000"/>
                            </a:schemeClr>
                          </a:solidFill>
                          <a:ln w="12700" cap="flat" cmpd="sng" algn="ctr">
                            <a:noFill/>
                            <a:prstDash val="solid"/>
                            <a:miter lim="800000"/>
                          </a:ln>
                          <a:effectLst/>
                        </wps:spPr>
                        <wps:txbx>
                          <w:txbxContent>
                            <w:p w14:paraId="54936880">
                              <w:pPr>
                                <w:spacing w:line="24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课程思政三全育人</w:t>
                              </w:r>
                            </w:p>
                          </w:txbxContent>
                        </wps:txbx>
                        <wps:bodyPr rot="0" spcFirstLastPara="0" vertOverflow="overflow" horzOverflow="overflow" vert="horz" wrap="square" lIns="0" tIns="0" rIns="0" bIns="0" numCol="1" spcCol="0" rtlCol="0" fromWordArt="0" anchor="ctr" anchorCtr="0" forceAA="0" compatLnSpc="1">
                          <a:noAutofit/>
                        </wps:bodyPr>
                      </wps:wsp>
                      <wps:wsp>
                        <wps:cNvPr id="64" name="直接连接符 199"/>
                        <wps:cNvCnPr/>
                        <wps:spPr>
                          <a:xfrm flipH="1">
                            <a:off x="247650" y="1174750"/>
                            <a:ext cx="204470" cy="0"/>
                          </a:xfrm>
                          <a:prstGeom prst="line">
                            <a:avLst/>
                          </a:prstGeom>
                          <a:noFill/>
                          <a:ln w="19050" cap="rnd">
                            <a:solidFill>
                              <a:srgbClr val="FF0000"/>
                            </a:solidFill>
                            <a:prstDash val="sysDot"/>
                            <a:round/>
                          </a:ln>
                          <a:effectLst/>
                        </wps:spPr>
                        <wps:bodyPr/>
                      </wps:wsp>
                      <wps:wsp>
                        <wps:cNvPr id="65" name="直接连接符 200"/>
                        <wps:cNvCnPr/>
                        <wps:spPr>
                          <a:xfrm flipV="1">
                            <a:off x="234315" y="1176020"/>
                            <a:ext cx="7620" cy="1057910"/>
                          </a:xfrm>
                          <a:prstGeom prst="line">
                            <a:avLst/>
                          </a:prstGeom>
                          <a:noFill/>
                          <a:ln w="19050" cap="rnd">
                            <a:solidFill>
                              <a:srgbClr val="FF0000"/>
                            </a:solidFill>
                            <a:prstDash val="sysDot"/>
                            <a:round/>
                          </a:ln>
                          <a:effectLst/>
                        </wps:spPr>
                        <wps:bodyPr/>
                      </wps:wsp>
                      <wps:wsp>
                        <wps:cNvPr id="66" name="直接连接符 201"/>
                        <wps:cNvCnPr/>
                        <wps:spPr>
                          <a:xfrm flipV="1">
                            <a:off x="5069205" y="1151890"/>
                            <a:ext cx="2540" cy="1096010"/>
                          </a:xfrm>
                          <a:prstGeom prst="line">
                            <a:avLst/>
                          </a:prstGeom>
                          <a:noFill/>
                          <a:ln w="19050" cap="rnd">
                            <a:solidFill>
                              <a:srgbClr val="FF0000"/>
                            </a:solidFill>
                            <a:prstDash val="sysDot"/>
                            <a:round/>
                          </a:ln>
                          <a:effectLst/>
                        </wps:spPr>
                        <wps:bodyPr/>
                      </wps:wsp>
                      <wps:wsp>
                        <wps:cNvPr id="67" name="直接连接符 202"/>
                        <wps:cNvCnPr/>
                        <wps:spPr>
                          <a:xfrm flipH="1">
                            <a:off x="4833620" y="1143635"/>
                            <a:ext cx="204470" cy="0"/>
                          </a:xfrm>
                          <a:prstGeom prst="line">
                            <a:avLst/>
                          </a:prstGeom>
                          <a:noFill/>
                          <a:ln w="19050" cap="rnd">
                            <a:solidFill>
                              <a:srgbClr val="FF0000"/>
                            </a:solidFill>
                            <a:prstDash val="sysDot"/>
                            <a:round/>
                          </a:ln>
                          <a:effectLst/>
                        </wps:spPr>
                        <wps:bodyPr/>
                      </wps:wsp>
                      <wps:wsp>
                        <wps:cNvPr id="68" name="直接连接符 203"/>
                        <wps:cNvCnPr/>
                        <wps:spPr>
                          <a:xfrm flipH="1" flipV="1">
                            <a:off x="228600" y="5276215"/>
                            <a:ext cx="7620" cy="1035685"/>
                          </a:xfrm>
                          <a:prstGeom prst="line">
                            <a:avLst/>
                          </a:prstGeom>
                          <a:noFill/>
                          <a:ln w="19050" cap="rnd">
                            <a:solidFill>
                              <a:srgbClr val="FF0000"/>
                            </a:solidFill>
                            <a:prstDash val="sysDot"/>
                            <a:round/>
                          </a:ln>
                          <a:effectLst/>
                        </wps:spPr>
                        <wps:bodyPr/>
                      </wps:wsp>
                      <wps:wsp>
                        <wps:cNvPr id="69" name="直接连接符 204"/>
                        <wps:cNvCnPr/>
                        <wps:spPr>
                          <a:xfrm flipV="1">
                            <a:off x="5062220" y="5244465"/>
                            <a:ext cx="6985" cy="1028065"/>
                          </a:xfrm>
                          <a:prstGeom prst="line">
                            <a:avLst/>
                          </a:prstGeom>
                          <a:noFill/>
                          <a:ln w="19050" cap="rnd">
                            <a:solidFill>
                              <a:srgbClr val="FF0000"/>
                            </a:solidFill>
                            <a:prstDash val="sysDot"/>
                            <a:round/>
                          </a:ln>
                          <a:effectLst/>
                        </wps:spPr>
                        <wps:bodyPr/>
                      </wps:wsp>
                      <wps:wsp>
                        <wps:cNvPr id="70" name="直接连接符 205"/>
                        <wps:cNvCnPr/>
                        <wps:spPr>
                          <a:xfrm flipH="1">
                            <a:off x="246380" y="6318885"/>
                            <a:ext cx="204470" cy="0"/>
                          </a:xfrm>
                          <a:prstGeom prst="line">
                            <a:avLst/>
                          </a:prstGeom>
                          <a:noFill/>
                          <a:ln w="19050" cap="rnd">
                            <a:solidFill>
                              <a:srgbClr val="FF0000"/>
                            </a:solidFill>
                            <a:prstDash val="sysDot"/>
                            <a:round/>
                          </a:ln>
                          <a:effectLst/>
                        </wps:spPr>
                        <wps:bodyPr/>
                      </wps:wsp>
                      <wps:wsp>
                        <wps:cNvPr id="71" name="直接连接符 206"/>
                        <wps:cNvCnPr/>
                        <wps:spPr>
                          <a:xfrm flipH="1">
                            <a:off x="4871720" y="6286500"/>
                            <a:ext cx="139065" cy="6985"/>
                          </a:xfrm>
                          <a:prstGeom prst="line">
                            <a:avLst/>
                          </a:prstGeom>
                          <a:noFill/>
                          <a:ln w="19050" cap="rnd">
                            <a:solidFill>
                              <a:srgbClr val="FF0000"/>
                            </a:solidFill>
                            <a:prstDash val="sysDot"/>
                            <a:round/>
                          </a:ln>
                          <a:effectLst/>
                        </wps:spPr>
                        <wps:bodyPr/>
                      </wps:wsp>
                      <wps:wsp>
                        <wps:cNvPr id="72" name="矩形 509487170"/>
                        <wps:cNvSpPr/>
                        <wps:spPr>
                          <a:xfrm>
                            <a:off x="3465830" y="6842057"/>
                            <a:ext cx="662940" cy="252095"/>
                          </a:xfrm>
                          <a:prstGeom prst="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7A6BFEA9">
                              <w:pPr>
                                <w:jc w:val="center"/>
                                <w:rPr>
                                  <w:rFonts w:ascii="Calibri"/>
                                  <w:b/>
                                  <w:bCs/>
                                  <w:sz w:val="16"/>
                                  <w:szCs w:val="16"/>
                                </w:rPr>
                              </w:pPr>
                              <w:r>
                                <w:rPr>
                                  <w:rFonts w:hint="eastAsia" w:ascii="Calibri"/>
                                  <w:b/>
                                  <w:bCs/>
                                  <w:sz w:val="16"/>
                                  <w:szCs w:val="16"/>
                                </w:rPr>
                                <w:t>社交礼仪</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573.85pt;width:404.95pt;" coordsize="5142865,7287895" editas="canvas" o:gfxdata="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">
                <o:lock v:ext="edit" aspectratio="f"/>
                <v:shape id="_x0000_s1026" o:spid="_x0000_s1026" style="position:absolute;left:0;top:0;height:7287895;width:5142865;" filled="f" stroked="f" coordsize="21600,21600" o:gfxdata="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">
                  <v:fill on="f" focussize="0,0"/>
                  <v:stroke on="f"/>
                  <v:imagedata o:title=""/>
                  <o:lock v:ext="edit" aspectratio="f"/>
                </v:shape>
                <v:rect id="矩形 105" o:spid="_x0000_s1026" o:spt="1" style="position:absolute;left:488950;top:179705;height:1671320;width:4322445;v-text-anchor:middle;" filled="f" stroked="t" coordsize="21600,21600" o:gfxdata="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15oSb1wAAAAYBAAAPAAAAAAAAAAEAIAAA&#10;ACIAAABkcnMvZG93bnJldi54bWxQSwECFAAUAAAACACHTuJAdjMfuX8CAADnBAAADgAAAAAAAAAB&#10;ACAAAAAmAQAAZHJzL2Uyb0RvYy54bWxQSwUGAAAAAAYABgBZAQAAFwYAAAAA&#10;">
                  <v:fill on="f" focussize="0,0"/>
                  <v:stroke weight="1pt" color="#FF0000" miterlimit="8" joinstyle="miter" dashstyle="longDash"/>
                  <v:imagedata o:title=""/>
                  <o:lock v:ext="edit" aspectratio="f"/>
                </v:rect>
                <v:rect id="矩形 106" o:spid="_x0000_s1026" o:spt="1" style="position:absolute;left:1568450;top:28575;height:297815;width:2141220;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IkmHYAAAABgEAAA8AAAAAAAAAAQAgAAAAIgAAAGRycy9kb3ducmV2LnhtbFBLAQIUABQA&#10;AAAIAIdO4kAMBPzpYgIAAL4EAAAOAAAAAAAAAAEAIAAAACcBAABkcnMvZTJvRG9jLnhtbFBLBQYA&#10;AAAABgAGAFkBAAD7BQAAAAA=&#10;">
                  <v:fill on="t" focussize="0,0"/>
                  <v:stroke on="f"/>
                  <v:imagedata o:title=""/>
                  <o:lock v:ext="edit" aspectratio="f"/>
                  <v:textbox inset="0mm,0mm,0mm,0mm">
                    <w:txbxContent>
                      <w:p w14:paraId="23774A02">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专业拓展模块</w:t>
                        </w:r>
                      </w:p>
                    </w:txbxContent>
                  </v:textbox>
                </v:rect>
                <v:rect id="矩形 107" o:spid="_x0000_s1026" o:spt="1" style="position:absolute;left:624840;top:54546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k9q9NcAAAAG&#10;AQAADwAAAAAAAAABACAAAAAiAAAAZHJzL2Rvd25yZXYueG1sUEsBAhQAFAAAAAgAh07iQPkDP1WP&#10;AgAATQUAAA4AAAAAAAAAAQAgAAAAJgEAAGRycy9lMm9Eb2MueG1sUEsFBgAAAAAGAAYAWQEAACcG&#10;AAAAAA==&#10;">
                  <v:fill on="t" focussize="0,0"/>
                  <v:stroke weight="1pt" color="#D9D9D9 [2732]" miterlimit="8" joinstyle="miter"/>
                  <v:imagedata o:title=""/>
                  <o:lock v:ext="edit" aspectratio="f"/>
                  <v:textbox inset="0mm,0mm,0mm,0mm">
                    <w:txbxContent>
                      <w:p w14:paraId="7B61AAA7">
                        <w:pPr>
                          <w:jc w:val="center"/>
                          <w:rPr>
                            <w:rFonts w:asciiTheme="minorEastAsia" w:hAnsiTheme="minorEastAsia" w:cstheme="minorEastAsia"/>
                            <w:b/>
                            <w:bCs/>
                          </w:rPr>
                        </w:pPr>
                        <w:r>
                          <w:rPr>
                            <w:rFonts w:hint="eastAsia" w:asciiTheme="minorEastAsia" w:hAnsiTheme="minorEastAsia" w:cstheme="minorEastAsia"/>
                            <w:b/>
                            <w:bCs/>
                          </w:rPr>
                          <w:t>金融认知</w:t>
                        </w:r>
                      </w:p>
                    </w:txbxContent>
                  </v:textbox>
                </v:rect>
                <v:rect id="矩形 108" o:spid="_x0000_s1026" o:spt="1" style="position:absolute;left:2013585;top:54483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D+5KO8&#10;kAIAAE4FAAAOAAAAAAAAAAEAIAAAACYBAABkcnMvZTJvRG9jLnhtbFBLBQYAAAAABgAGAFkBAAAo&#10;BgAAAAA=&#10;">
                  <v:fill on="t" focussize="0,0"/>
                  <v:stroke weight="1pt" color="#D9D9D9 [2732]" miterlimit="8" joinstyle="miter"/>
                  <v:imagedata o:title=""/>
                  <o:lock v:ext="edit" aspectratio="f"/>
                  <v:textbox inset="0mm,0mm,0mm,0mm">
                    <w:txbxContent>
                      <w:p w14:paraId="7BF2B7CB">
                        <w:pPr>
                          <w:rPr>
                            <w:rFonts w:asciiTheme="minorEastAsia" w:hAnsiTheme="minorEastAsia" w:cstheme="minorEastAsia"/>
                            <w:b/>
                            <w:bCs/>
                          </w:rPr>
                        </w:pPr>
                        <w:r>
                          <w:rPr>
                            <w:rFonts w:hint="eastAsia" w:asciiTheme="minorEastAsia" w:hAnsiTheme="minorEastAsia" w:cstheme="minorEastAsia"/>
                            <w:b/>
                            <w:bCs/>
                          </w:rPr>
                          <w:t>场景化企业经营模</w:t>
                        </w:r>
                      </w:p>
                    </w:txbxContent>
                  </v:textbox>
                </v:rect>
                <v:rect id="矩形 109" o:spid="_x0000_s1026" o:spt="1" style="position:absolute;left:3418205;top:55308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4Vle&#10;dpECAABOBQAADgAAAAAAAAABACAAAAAmAQAAZHJzL2Uyb0RvYy54bWxQSwUGAAAAAAYABgBZAQAA&#10;KQYAAAAA&#10;">
                  <v:fill on="t" focussize="0,0"/>
                  <v:stroke weight="1pt" color="#D9D9D9 [2732]" miterlimit="8" joinstyle="miter"/>
                  <v:imagedata o:title=""/>
                  <o:lock v:ext="edit" aspectratio="f"/>
                  <v:textbox inset="0mm,0mm,0mm,0mm">
                    <w:txbxContent>
                      <w:p w14:paraId="345DF62B">
                        <w:pPr>
                          <w:rPr>
                            <w:rFonts w:asciiTheme="minorEastAsia" w:hAnsiTheme="minorEastAsia" w:cstheme="minorEastAsia"/>
                            <w:b/>
                            <w:bCs/>
                          </w:rPr>
                        </w:pPr>
                        <w:r>
                          <w:rPr>
                            <w:rFonts w:hint="eastAsia" w:asciiTheme="minorEastAsia" w:hAnsiTheme="minorEastAsia" w:cstheme="minorEastAsia"/>
                            <w:b/>
                            <w:bCs/>
                          </w:rPr>
                          <w:t>财经法规与会计职业道德</w:t>
                        </w:r>
                      </w:p>
                    </w:txbxContent>
                  </v:textbox>
                </v:rect>
                <v:rect id="矩形 110" o:spid="_x0000_s1026" o:spt="1" style="position:absolute;left:624205;top:88646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5PavTXAAAABgEA&#10;AA8AAAAAAAAAAQAgAAAAIgAAAGRycy9kb3ducmV2LnhtbFBLAQIUABQAAAAIAIdO4kBPqusQjQIA&#10;AE0FAAAOAAAAAAAAAAEAIAAAACYBAABkcnMvZTJvRG9jLnhtbFBLBQYAAAAABgAGAFkBAAAlBgAA&#10;AAA=&#10;">
                  <v:fill on="t" focussize="0,0"/>
                  <v:stroke weight="1pt" color="#D9D9D9 [2732]" miterlimit="8" joinstyle="miter"/>
                  <v:imagedata o:title=""/>
                  <o:lock v:ext="edit" aspectratio="f"/>
                  <v:textbox inset="0mm,0mm,0mm,0mm">
                    <w:txbxContent>
                      <w:p w14:paraId="5DF1264C">
                        <w:pPr>
                          <w:ind w:firstLine="211" w:firstLineChars="100"/>
                          <w:rPr>
                            <w:rFonts w:asciiTheme="minorEastAsia" w:hAnsiTheme="minorEastAsia" w:cstheme="minorEastAsia"/>
                            <w:b/>
                            <w:bCs/>
                          </w:rPr>
                        </w:pPr>
                        <w:r>
                          <w:rPr>
                            <w:rFonts w:hint="eastAsia" w:asciiTheme="minorEastAsia" w:hAnsiTheme="minorEastAsia" w:cstheme="minorEastAsia"/>
                            <w:b/>
                            <w:bCs/>
                          </w:rPr>
                          <w:t>大数据应用基础</w:t>
                        </w:r>
                      </w:p>
                    </w:txbxContent>
                  </v:textbox>
                </v:rect>
                <v:rect id="矩形 111" o:spid="_x0000_s1026" o:spt="1" style="position:absolute;left:2012950;top:88582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eT2r01wAAAAYB&#10;AAAPAAAAAAAAAAEAIAAAACIAAABkcnMvZG93bnJldi54bWxQSwECFAAUAAAACACHTuJA+YbWhI4C&#10;AABOBQAADgAAAAAAAAABACAAAAAmAQAAZHJzL2Uyb0RvYy54bWxQSwUGAAAAAAYABgBZAQAAJgYA&#10;AAAA&#10;">
                  <v:fill on="t" focussize="0,0"/>
                  <v:stroke weight="1pt" color="#D9D9D9 [2732]" miterlimit="8" joinstyle="miter"/>
                  <v:imagedata o:title=""/>
                  <o:lock v:ext="edit" aspectratio="f"/>
                  <v:textbox inset="0mm,0mm,0mm,0mm">
                    <w:txbxContent>
                      <w:p w14:paraId="1251C760">
                        <w:pPr>
                          <w:ind w:firstLine="211" w:firstLineChars="100"/>
                          <w:rPr>
                            <w:rFonts w:asciiTheme="minorEastAsia" w:hAnsiTheme="minorEastAsia" w:cstheme="minorEastAsia"/>
                            <w:b/>
                            <w:bCs/>
                          </w:rPr>
                        </w:pPr>
                        <w:r>
                          <w:rPr>
                            <w:rFonts w:hint="eastAsia" w:asciiTheme="minorEastAsia" w:hAnsiTheme="minorEastAsia" w:cstheme="minorEastAsia"/>
                            <w:b/>
                            <w:bCs/>
                          </w:rPr>
                          <w:t>统计技术应用</w:t>
                        </w:r>
                      </w:p>
                    </w:txbxContent>
                  </v:textbox>
                </v:rect>
                <v:rect id="矩形 112" o:spid="_x0000_s1026" o:spt="1" style="position:absolute;left:3417570;top:89408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Cd1P3H&#10;kAIAAE8FAAAOAAAAAAAAAAEAIAAAACYBAABkcnMvZTJvRG9jLnhtbFBLBQYAAAAABgAGAFkBAAAo&#10;BgAAAAA=&#10;">
                  <v:fill on="t" focussize="0,0"/>
                  <v:stroke weight="1pt" color="#D9D9D9 [2732]" miterlimit="8" joinstyle="miter"/>
                  <v:imagedata o:title=""/>
                  <o:lock v:ext="edit" aspectratio="f"/>
                  <v:textbox inset="0mm,0mm,0mm,0mm">
                    <w:txbxContent>
                      <w:p w14:paraId="4202E2A1">
                        <w:pPr>
                          <w:ind w:firstLine="211" w:firstLineChars="100"/>
                          <w:rPr>
                            <w:rFonts w:asciiTheme="minorEastAsia" w:hAnsiTheme="minorEastAsia" w:cstheme="minorEastAsia"/>
                            <w:b/>
                            <w:bCs/>
                          </w:rPr>
                        </w:pPr>
                        <w:r>
                          <w:rPr>
                            <w:rFonts w:hint="eastAsia" w:asciiTheme="minorEastAsia" w:hAnsiTheme="minorEastAsia" w:cstheme="minorEastAsia"/>
                            <w:b/>
                            <w:bCs/>
                          </w:rPr>
                          <w:t>财经文员事务</w:t>
                        </w:r>
                      </w:p>
                    </w:txbxContent>
                  </v:textbox>
                </v:rect>
                <v:rect id="矩形 113" o:spid="_x0000_s1026" o:spt="1" style="position:absolute;left:624205;top:119634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CtoUm4&#10;kAIAAE8FAAAOAAAAAAAAAAEAIAAAACYBAABkcnMvZTJvRG9jLnhtbFBLBQYAAAAABgAGAFkBAAAo&#10;BgAAAAA=&#10;">
                  <v:fill on="t" focussize="0,0"/>
                  <v:stroke weight="1pt" color="#D9D9D9 [2732]" miterlimit="8" joinstyle="miter"/>
                  <v:imagedata o:title=""/>
                  <o:lock v:ext="edit" aspectratio="f"/>
                  <v:textbox inset="0mm,0mm,0mm,0mm">
                    <w:txbxContent>
                      <w:p w14:paraId="73D5A7B6">
                        <w:pPr>
                          <w:jc w:val="center"/>
                          <w:rPr>
                            <w:rFonts w:asciiTheme="minorEastAsia" w:hAnsiTheme="minorEastAsia" w:cstheme="minorEastAsia"/>
                            <w:b/>
                            <w:bCs/>
                          </w:rPr>
                        </w:pPr>
                        <w:r>
                          <w:rPr>
                            <w:rFonts w:hint="eastAsia" w:asciiTheme="minorEastAsia" w:hAnsiTheme="minorEastAsia" w:cstheme="minorEastAsia"/>
                            <w:b/>
                            <w:bCs/>
                          </w:rPr>
                          <w:t>出纳实务</w:t>
                        </w:r>
                      </w:p>
                    </w:txbxContent>
                  </v:textbox>
                </v:rect>
                <v:rect id="矩形 114" o:spid="_x0000_s1026" o:spt="1" style="position:absolute;left:2012950;top:119570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CKnwWk&#10;kAIAAFAFAAAOAAAAAAAAAAEAIAAAACYBAABkcnMvZTJvRG9jLnhtbFBLBQYAAAAABgAGAFkBAAAo&#10;BgAAAAA=&#10;">
                  <v:fill on="t" focussize="0,0"/>
                  <v:stroke weight="1pt" color="#D9D9D9 [2732]" miterlimit="8" joinstyle="miter"/>
                  <v:imagedata o:title=""/>
                  <o:lock v:ext="edit" aspectratio="f"/>
                  <v:textbox inset="0mm,0mm,0mm,0mm">
                    <w:txbxContent>
                      <w:p w14:paraId="6EAD80EB">
                        <w:pPr>
                          <w:jc w:val="center"/>
                          <w:rPr>
                            <w:rFonts w:asciiTheme="minorEastAsia" w:hAnsiTheme="minorEastAsia" w:cstheme="minorEastAsia"/>
                            <w:b/>
                            <w:bCs/>
                          </w:rPr>
                        </w:pPr>
                        <w:r>
                          <w:rPr>
                            <w:rFonts w:hint="eastAsia" w:asciiTheme="minorEastAsia" w:hAnsiTheme="minorEastAsia" w:cstheme="minorEastAsia"/>
                            <w:b/>
                            <w:bCs/>
                          </w:rPr>
                          <w:t>成本会计</w:t>
                        </w:r>
                      </w:p>
                    </w:txbxContent>
                  </v:textbox>
                </v:rect>
                <v:rect id="矩形 115" o:spid="_x0000_s1026" o:spt="1" style="position:absolute;left:3417570;top:120396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5PavTXAAAABgEA&#10;AA8AAAAAAAAAAQAgAAAAIgAAAGRycy9kb3ducmV2LnhtbFBLAQIUABQAAAAIAIdO4kAkGfp5jQIA&#10;AFAFAAAOAAAAAAAAAAEAIAAAACYBAABkcnMvZTJvRG9jLnhtbFBLBQYAAAAABgAGAFkBAAAlBgAA&#10;AAA=&#10;">
                  <v:fill on="t" focussize="0,0"/>
                  <v:stroke weight="1pt" color="#D9D9D9 [2732]" miterlimit="8" joinstyle="miter"/>
                  <v:imagedata o:title=""/>
                  <o:lock v:ext="edit" aspectratio="f"/>
                  <v:textbox inset="0mm,0mm,0mm,0mm">
                    <w:txbxContent>
                      <w:p w14:paraId="6C7D82A2">
                        <w:pPr>
                          <w:jc w:val="center"/>
                          <w:rPr>
                            <w:rFonts w:asciiTheme="minorEastAsia" w:hAnsiTheme="minorEastAsia" w:cstheme="minorEastAsia"/>
                            <w:b/>
                            <w:bCs/>
                          </w:rPr>
                        </w:pPr>
                        <w:r>
                          <w:rPr>
                            <w:rFonts w:hint="eastAsia" w:asciiTheme="minorEastAsia" w:hAnsiTheme="minorEastAsia" w:cstheme="minorEastAsia"/>
                            <w:b/>
                            <w:bCs/>
                          </w:rPr>
                          <w:t>财务机器人应用</w:t>
                        </w:r>
                      </w:p>
                    </w:txbxContent>
                  </v:textbox>
                </v:rect>
                <v:rect id="矩形 116" o:spid="_x0000_s1026" o:spt="1" style="position:absolute;left:631825;top:1529715;height:252095;width:161607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9for&#10;SJECAABPBQAADgAAAAAAAAABACAAAAAmAQAAZHJzL2Uyb0RvYy54bWxQSwUGAAAAAAYABgBZAQAA&#10;KQYAAAAA&#10;">
                  <v:fill on="t" focussize="0,0"/>
                  <v:stroke weight="1pt" color="#D9D9D9 [2732]" miterlimit="8" joinstyle="miter"/>
                  <v:imagedata o:title=""/>
                  <o:lock v:ext="edit" aspectratio="f"/>
                  <v:textbox inset="0mm,0mm,0mm,0mm">
                    <w:txbxContent>
                      <w:p w14:paraId="0F890F27">
                        <w:pPr>
                          <w:rPr>
                            <w:rFonts w:asciiTheme="minorEastAsia" w:hAnsiTheme="minorEastAsia" w:cstheme="minorEastAsia"/>
                            <w:b/>
                            <w:bCs/>
                          </w:rPr>
                        </w:pPr>
                        <w:r>
                          <w:rPr>
                            <w:rFonts w:hint="eastAsia" w:asciiTheme="minorEastAsia" w:hAnsiTheme="minorEastAsia" w:cstheme="minorEastAsia"/>
                            <w:b/>
                            <w:bCs/>
                          </w:rPr>
                          <w:t>企业购销存业务与管理</w:t>
                        </w:r>
                      </w:p>
                    </w:txbxContent>
                  </v:textbox>
                </v:rect>
                <v:rect id="矩形 119" o:spid="_x0000_s1026" o:spt="1" style="position:absolute;left:504825;top:2029460;height:1788795;width:2592705;v-text-anchor:middle;" filled="f" stroked="t" coordsize="21600,21600" o:gfxdata="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15oSb1wAAAAYBAAAPAAAAAAAAAAEA&#10;IAAAACIAAABkcnMvZG93bnJldi54bWxQSwECFAAUAAAACACHTuJAqrZAroICAADpBAAADgAAAAAA&#10;AAABACAAAAAmAQAAZHJzL2Uyb0RvYy54bWxQSwUGAAAAAAYABgBZAQAAGgYAAAAA&#10;">
                  <v:fill on="f" focussize="0,0"/>
                  <v:stroke weight="1pt" color="#FF0000" miterlimit="8" joinstyle="miter" dashstyle="longDash"/>
                  <v:imagedata o:title=""/>
                  <o:lock v:ext="edit" aspectratio="f"/>
                </v:rect>
                <v:rect id="矩形 120" o:spid="_x0000_s1026" o:spt="1" style="position:absolute;left:1242695;top:1871980;height:297815;width:1083945;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8iSYdgAAAAGAQAADwAAAAAAAAABACAAAAAiAAAAZHJzL2Rvd25yZXYueG1sUEsBAhQA&#10;FAAAAAgAh07iQGb71CdkAgAAwQQAAA4AAAAAAAAAAQAgAAAAJwEAAGRycy9lMm9Eb2MueG1sUEsF&#10;BgAAAAAGAAYAWQEAAP0FAAAAAA==&#10;">
                  <v:fill on="t" focussize="0,0"/>
                  <v:stroke on="f"/>
                  <v:imagedata o:title=""/>
                  <o:lock v:ext="edit" aspectratio="f"/>
                  <v:textbox inset="0mm,0mm,0mm,0mm">
                    <w:txbxContent>
                      <w:p w14:paraId="59CECB5C">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专业核心课程</w:t>
                        </w:r>
                      </w:p>
                    </w:txbxContent>
                  </v:textbox>
                </v:rect>
                <v:rect id="矩形 121" o:spid="_x0000_s1026" o:spt="1" style="position:absolute;left:1196340;top:230759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A/HUrw&#10;kAIAAFAFAAAOAAAAAAAAAAEAIAAAACYBAABkcnMvZTJvRG9jLnhtbFBLBQYAAAAABgAGAFkBAAAo&#10;BgAAAAA=&#10;">
                  <v:fill on="t" focussize="0,0"/>
                  <v:stroke weight="1pt" color="#D9D9D9 [2732]" miterlimit="8" joinstyle="miter"/>
                  <v:imagedata o:title=""/>
                  <o:lock v:ext="edit" aspectratio="f"/>
                  <v:textbox inset="0mm,0mm,0mm,0mm">
                    <w:txbxContent>
                      <w:p w14:paraId="2F9A55DD">
                        <w:pPr>
                          <w:jc w:val="center"/>
                          <w:rPr>
                            <w:rFonts w:asciiTheme="minorEastAsia" w:hAnsiTheme="minorEastAsia" w:cstheme="minorEastAsia"/>
                            <w:b/>
                            <w:bCs/>
                          </w:rPr>
                        </w:pPr>
                        <w:r>
                          <w:rPr>
                            <w:rFonts w:hint="eastAsia" w:asciiTheme="minorEastAsia" w:hAnsiTheme="minorEastAsia" w:cstheme="minorEastAsia"/>
                            <w:b/>
                            <w:bCs/>
                          </w:rPr>
                          <w:t>企业财务会计</w:t>
                        </w:r>
                      </w:p>
                    </w:txbxContent>
                  </v:textbox>
                </v:rect>
                <v:rect id="矩形 123" o:spid="_x0000_s1026" o:spt="1" style="position:absolute;left:3395980;top:2028190;height:1797685;width:1426210;v-text-anchor:middle;" filled="f" stroked="t" coordsize="21600,21600" o:gfxdata="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eaEm9cAAAAGAQAADwAAAAAAAAAB&#10;ACAAAAAiAAAAZHJzL2Rvd25yZXYueG1sUEsBAhQAFAAAAAgAh07iQL8Er42DAgAA6gQAAA4AAAAA&#10;AAAAAQAgAAAAJgEAAGRycy9lMm9Eb2MueG1sUEsFBgAAAAAGAAYAWQEAABsGAAAAAA==&#10;">
                  <v:fill on="f" focussize="0,0"/>
                  <v:stroke weight="1pt" color="#FF0000" miterlimit="8" joinstyle="miter" dashstyle="longDash"/>
                  <v:imagedata o:title=""/>
                  <o:lock v:ext="edit" aspectratio="f"/>
                </v:rect>
                <v:rect id="矩形 124" o:spid="_x0000_s1026" o:spt="1" style="position:absolute;left:3532505;top:1878965;height:297815;width:1083945;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IkmHYAAAABgEAAA8AAAAAAAAAAQAgAAAAIgAAAGRycy9kb3ducmV2LnhtbFBL&#10;AQIUABQAAAAIAIdO4kDjMUGIaAIAAMEEAAAOAAAAAAAAAAEAIAAAACcBAABkcnMvZTJvRG9jLnht&#10;bFBLBQYAAAAABgAGAFkBAAABBgAAAAA=&#10;">
                  <v:fill on="t" focussize="0,0"/>
                  <v:stroke on="f"/>
                  <v:imagedata o:title=""/>
                  <o:lock v:ext="edit" aspectratio="f"/>
                  <v:textbox inset="0mm,0mm,0mm,0mm">
                    <w:txbxContent>
                      <w:p w14:paraId="1C345CFE">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实习实训模块</w:t>
                        </w:r>
                      </w:p>
                    </w:txbxContent>
                  </v:textbox>
                </v:rect>
                <v:rect id="矩形 125" o:spid="_x0000_s1026" o:spt="1" style="position:absolute;left:3517265;top:228282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Dx7iel&#10;kAIAAFAFAAAOAAAAAAAAAAEAIAAAACYBAABkcnMvZTJvRG9jLnhtbFBLBQYAAAAABgAGAFkBAAAo&#10;BgAAAAA=&#10;">
                  <v:fill on="t" focussize="0,0"/>
                  <v:stroke weight="1pt" color="#D9D9D9 [2732]" miterlimit="8" joinstyle="miter"/>
                  <v:imagedata o:title=""/>
                  <o:lock v:ext="edit" aspectratio="f"/>
                  <v:textbox inset="0mm,0mm,0mm,0mm">
                    <w:txbxContent>
                      <w:p w14:paraId="5BE49904">
                        <w:pPr>
                          <w:jc w:val="center"/>
                          <w:rPr>
                            <w:rFonts w:asciiTheme="minorEastAsia" w:hAnsiTheme="minorEastAsia" w:cstheme="minorEastAsia"/>
                            <w:b/>
                            <w:bCs/>
                          </w:rPr>
                        </w:pPr>
                        <w:r>
                          <w:rPr>
                            <w:rFonts w:hint="eastAsia" w:asciiTheme="minorEastAsia" w:hAnsiTheme="minorEastAsia" w:cstheme="minorEastAsia"/>
                            <w:b/>
                            <w:bCs/>
                          </w:rPr>
                          <w:t>会计手工综合实训</w:t>
                        </w:r>
                      </w:p>
                    </w:txbxContent>
                  </v:textbox>
                </v:rect>
                <v:rect id="矩形 126" o:spid="_x0000_s1026" o:spt="1" style="position:absolute;left:3521075;top:259334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BpoODV&#10;kAIAAFAFAAAOAAAAAAAAAAEAIAAAACYBAABkcnMvZTJvRG9jLnhtbFBLBQYAAAAABgAGAFkBAAAo&#10;BgAAAAA=&#10;">
                  <v:fill on="t" focussize="0,0"/>
                  <v:stroke weight="1pt" color="#D9D9D9 [2732]" miterlimit="8" joinstyle="miter"/>
                  <v:imagedata o:title=""/>
                  <o:lock v:ext="edit" aspectratio="f"/>
                  <v:textbox inset="0mm,0mm,0mm,0mm">
                    <w:txbxContent>
                      <w:p w14:paraId="621DBC15">
                        <w:pPr>
                          <w:jc w:val="center"/>
                          <w:rPr>
                            <w:rFonts w:asciiTheme="minorEastAsia" w:hAnsiTheme="minorEastAsia" w:cstheme="minorEastAsia"/>
                            <w:b/>
                            <w:bCs/>
                          </w:rPr>
                        </w:pPr>
                        <w:r>
                          <w:rPr>
                            <w:rFonts w:hint="eastAsia" w:asciiTheme="minorEastAsia" w:hAnsiTheme="minorEastAsia" w:cstheme="minorEastAsia"/>
                            <w:b/>
                            <w:bCs/>
                          </w:rPr>
                          <w:t>会计信息综合实训</w:t>
                        </w:r>
                      </w:p>
                    </w:txbxContent>
                  </v:textbox>
                </v:rect>
                <v:rect id="矩形 134" o:spid="_x0000_s1026" o:spt="1" style="position:absolute;left:3521710;top:290195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MwSC&#10;RJECAABQBQAADgAAAAAAAAABACAAAAAmAQAAZHJzL2Uyb0RvYy54bWxQSwUGAAAAAAYABgBZAQAA&#10;KQYAAAAA&#10;">
                  <v:fill on="t" focussize="0,0"/>
                  <v:stroke weight="1pt" color="#D9D9D9 [2732]" miterlimit="8" joinstyle="miter"/>
                  <v:imagedata o:title=""/>
                  <o:lock v:ext="edit" aspectratio="f"/>
                  <v:textbox inset="0mm,0mm,0mm,0mm">
                    <w:txbxContent>
                      <w:p w14:paraId="3D283F1C">
                        <w:pPr>
                          <w:jc w:val="center"/>
                          <w:rPr>
                            <w:rFonts w:asciiTheme="minorEastAsia" w:hAnsiTheme="minorEastAsia" w:cstheme="minorEastAsia"/>
                            <w:b/>
                            <w:bCs/>
                          </w:rPr>
                        </w:pPr>
                        <w:r>
                          <w:rPr>
                            <w:rFonts w:hint="eastAsia" w:asciiTheme="minorEastAsia" w:hAnsiTheme="minorEastAsia" w:cstheme="minorEastAsia"/>
                            <w:b/>
                            <w:bCs/>
                          </w:rPr>
                          <w:t>出纳岗位综合实训</w:t>
                        </w:r>
                      </w:p>
                    </w:txbxContent>
                  </v:textbox>
                </v:rect>
                <v:rect id="矩形 135" o:spid="_x0000_s1026" o:spt="1" style="position:absolute;left:3529330;top:321119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DupaF2&#10;kAIAAFAFAAAOAAAAAAAAAAEAIAAAACYBAABkcnMvZTJvRG9jLnhtbFBLBQYAAAAABgAGAFkBAAAo&#10;BgAAAAA=&#10;">
                  <v:fill on="t" focussize="0,0"/>
                  <v:stroke weight="1pt" color="#D9D9D9 [2732]" miterlimit="8" joinstyle="miter"/>
                  <v:imagedata o:title=""/>
                  <o:lock v:ext="edit" aspectratio="f"/>
                  <v:textbox inset="0mm,0mm,0mm,0mm">
                    <w:txbxContent>
                      <w:p w14:paraId="775F1E01">
                        <w:pPr>
                          <w:jc w:val="center"/>
                          <w:rPr>
                            <w:rFonts w:asciiTheme="minorEastAsia" w:hAnsiTheme="minorEastAsia" w:cstheme="minorEastAsia"/>
                            <w:b/>
                            <w:bCs/>
                          </w:rPr>
                        </w:pPr>
                        <w:r>
                          <w:rPr>
                            <w:rFonts w:hint="eastAsia" w:asciiTheme="minorEastAsia" w:hAnsiTheme="minorEastAsia" w:cstheme="minorEastAsia"/>
                            <w:b/>
                            <w:bCs/>
                          </w:rPr>
                          <w:t>纳税申报综合实训</w:t>
                        </w:r>
                      </w:p>
                    </w:txbxContent>
                  </v:textbox>
                </v:rect>
                <v:rect id="矩形 136" o:spid="_x0000_s1026" o:spt="1" style="position:absolute;left:3537585;top:351282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yXXs&#10;25ECAABQBQAADgAAAAAAAAABACAAAAAmAQAAZHJzL2Uyb0RvYy54bWxQSwUGAAAAAAYABgBZAQAA&#10;KQYAAAAA&#10;">
                  <v:fill on="t" focussize="0,0"/>
                  <v:stroke weight="1pt" color="#D9D9D9 [2732]" miterlimit="8" joinstyle="miter"/>
                  <v:imagedata o:title=""/>
                  <o:lock v:ext="edit" aspectratio="f"/>
                  <v:textbox inset="0mm,0mm,0mm,0mm">
                    <w:txbxContent>
                      <w:p w14:paraId="1272C0C6">
                        <w:pPr>
                          <w:jc w:val="center"/>
                          <w:rPr>
                            <w:rFonts w:asciiTheme="minorEastAsia" w:hAnsiTheme="minorEastAsia" w:cstheme="minorEastAsia"/>
                            <w:b/>
                            <w:bCs/>
                          </w:rPr>
                        </w:pPr>
                        <w:r>
                          <w:rPr>
                            <w:rFonts w:hint="eastAsia" w:asciiTheme="minorEastAsia" w:hAnsiTheme="minorEastAsia" w:cstheme="minorEastAsia"/>
                            <w:b/>
                            <w:bCs/>
                          </w:rPr>
                          <w:t>岗位实习</w:t>
                        </w:r>
                      </w:p>
                    </w:txbxContent>
                  </v:textbox>
                </v:rect>
                <v:rect id="矩形 137" o:spid="_x0000_s1026" o:spt="1" style="position:absolute;left:1194435;top:260858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0BKd&#10;v5ECAABQBQAADgAAAAAAAAABACAAAAAmAQAAZHJzL2Uyb0RvYy54bWxQSwUGAAAAAAYABgBZAQAA&#10;KQYAAAAA&#10;">
                  <v:fill on="t" focussize="0,0"/>
                  <v:stroke weight="1pt" color="#D9D9D9 [2732]" miterlimit="8" joinstyle="miter"/>
                  <v:imagedata o:title=""/>
                  <o:lock v:ext="edit" aspectratio="f"/>
                  <v:textbox inset="0mm,0mm,0mm,0mm">
                    <w:txbxContent>
                      <w:p w14:paraId="31DABBE1">
                        <w:pPr>
                          <w:jc w:val="center"/>
                          <w:rPr>
                            <w:rFonts w:asciiTheme="minorEastAsia" w:hAnsiTheme="minorEastAsia" w:cstheme="minorEastAsia"/>
                            <w:b/>
                            <w:bCs/>
                          </w:rPr>
                        </w:pPr>
                        <w:r>
                          <w:rPr>
                            <w:rFonts w:hint="eastAsia" w:asciiTheme="minorEastAsia" w:hAnsiTheme="minorEastAsia" w:cstheme="minorEastAsia"/>
                            <w:b/>
                            <w:bCs/>
                          </w:rPr>
                          <w:t>税收基础</w:t>
                        </w:r>
                      </w:p>
                    </w:txbxContent>
                  </v:textbox>
                </v:rect>
                <v:rect id="矩形 139" o:spid="_x0000_s1026" o:spt="1" style="position:absolute;left:1195705;top:291020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k9q9NcAAAAG&#10;AQAADwAAAAAAAAABACAAAAAiAAAAZHJzL2Rvd25yZXYueG1sUEsBAhQAFAAAAAgAh07iQCKf83WP&#10;AgAAUAUAAA4AAAAAAAAAAQAgAAAAJgEAAGRycy9lMm9Eb2MueG1sUEsFBgAAAAAGAAYAWQEAACcG&#10;AAAAAA==&#10;">
                  <v:fill on="t" focussize="0,0"/>
                  <v:stroke weight="1pt" color="#D9D9D9 [2732]" miterlimit="8" joinstyle="miter"/>
                  <v:imagedata o:title=""/>
                  <o:lock v:ext="edit" aspectratio="f"/>
                  <v:textbox inset="0mm,0mm,0mm,0mm">
                    <w:txbxContent>
                      <w:p w14:paraId="7666AB04">
                        <w:pPr>
                          <w:jc w:val="center"/>
                          <w:rPr>
                            <w:rFonts w:asciiTheme="minorEastAsia" w:hAnsiTheme="minorEastAsia" w:cstheme="minorEastAsia"/>
                            <w:b/>
                            <w:bCs/>
                          </w:rPr>
                        </w:pPr>
                        <w:r>
                          <w:rPr>
                            <w:rFonts w:hint="eastAsia" w:asciiTheme="minorEastAsia" w:hAnsiTheme="minorEastAsia" w:cstheme="minorEastAsia"/>
                            <w:b/>
                            <w:bCs/>
                          </w:rPr>
                          <w:t>纳税实务</w:t>
                        </w:r>
                      </w:p>
                    </w:txbxContent>
                  </v:textbox>
                </v:rect>
                <v:rect id="矩形 141" o:spid="_x0000_s1026" o:spt="1" style="position:absolute;left:1211580;top:322834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k9q9NcAAAAG&#10;AQAADwAAAAAAAAABACAAAAAiAAAAZHJzL2Rvd25yZXYueG1sUEsBAhQAFAAAAAgAh07iQCMagCKP&#10;AgAAUAUAAA4AAAAAAAAAAQAgAAAAJgEAAGRycy9lMm9Eb2MueG1sUEsFBgAAAAAGAAYAWQEAACcG&#10;AAAAAA==&#10;">
                  <v:fill on="t" focussize="0,0"/>
                  <v:stroke weight="1pt" color="#D9D9D9 [2732]" miterlimit="8" joinstyle="miter"/>
                  <v:imagedata o:title=""/>
                  <o:lock v:ext="edit" aspectratio="f"/>
                  <v:textbox inset="0mm,0mm,0mm,0mm">
                    <w:txbxContent>
                      <w:p w14:paraId="58B6851B">
                        <w:pPr>
                          <w:jc w:val="center"/>
                          <w:rPr>
                            <w:rFonts w:asciiTheme="minorEastAsia" w:hAnsiTheme="minorEastAsia" w:cstheme="minorEastAsia"/>
                            <w:b/>
                            <w:bCs/>
                          </w:rPr>
                        </w:pPr>
                        <w:r>
                          <w:rPr>
                            <w:rFonts w:hint="eastAsia" w:asciiTheme="minorEastAsia" w:hAnsiTheme="minorEastAsia" w:cstheme="minorEastAsia"/>
                            <w:b/>
                            <w:bCs/>
                          </w:rPr>
                          <w:t>会计电算化</w:t>
                        </w:r>
                      </w:p>
                    </w:txbxContent>
                  </v:textbox>
                </v:rect>
                <v:rect id="矩形 143" o:spid="_x0000_s1026" o:spt="1" style="position:absolute;left:513080;top:4077335;height:727710;width:4322445;v-text-anchor:middle;" filled="f" stroked="t" coordsize="21600,21600" o:gfxdata="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15oSb1wAAAAYBAAAPAAAAAAAAAAEA&#10;IAAAACIAAABkcnMvZG93bnJldi54bWxQSwECFAAUAAAACACHTuJA4wHvM4ICAADoBAAADgAAAAAA&#10;AAABACAAAAAmAQAAZHJzL2Uyb0RvYy54bWxQSwUGAAAAAAYABgBZAQAAGgYAAAAA&#10;">
                  <v:fill on="f" focussize="0,0"/>
                  <v:stroke weight="1pt" color="#FF0000" miterlimit="8" joinstyle="miter" dashstyle="longDash"/>
                  <v:imagedata o:title=""/>
                  <o:lock v:ext="edit" aspectratio="f"/>
                </v:rect>
                <v:rect id="矩形 144" o:spid="_x0000_s1026" o:spt="1" style="position:absolute;left:1592580;top:3926205;height:297815;width:2141220;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yJJh2AAAAAYBAAAPAAAAAAAAAAEAIAAAACIAAABkcnMvZG93bnJldi54bWxQSwEC&#10;FAAUAAAACACHTuJAWsossmYCAADBBAAADgAAAAAAAAABACAAAAAnAQAAZHJzL2Uyb0RvYy54bWxQ&#10;SwUGAAAAAAYABgBZAQAA/wUAAAAA&#10;">
                  <v:fill on="t" focussize="0,0"/>
                  <v:stroke on="f"/>
                  <v:imagedata o:title=""/>
                  <o:lock v:ext="edit" aspectratio="f"/>
                  <v:textbox inset="0mm,0mm,0mm,0mm">
                    <w:txbxContent>
                      <w:p w14:paraId="0CA92388">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专业基础模块</w:t>
                        </w:r>
                      </w:p>
                    </w:txbxContent>
                  </v:textbox>
                </v:rect>
                <v:rect id="矩形 145" o:spid="_x0000_s1026" o:spt="1" style="position:absolute;left:671830;top:438721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5PavTX&#10;AAAABgEAAA8AAAAAAAAAAQAgAAAAIgAAAGRycy9kb3ducmV2LnhtbFBLAQIUABQAAAAIAIdO4kCt&#10;31rbkwIAAE8FAAAOAAAAAAAAAAEAIAAAACYBAABkcnMvZTJvRG9jLnhtbFBLBQYAAAAABgAGAFkB&#10;AAArBgAAAAA=&#10;">
                  <v:fill on="t" focussize="0,0"/>
                  <v:stroke weight="1pt" color="#D9D9D9 [2732]" miterlimit="8" joinstyle="miter"/>
                  <v:imagedata o:title=""/>
                  <o:lock v:ext="edit" aspectratio="f"/>
                  <v:textbox inset="0mm,0mm,0mm,0mm">
                    <w:txbxContent>
                      <w:p w14:paraId="6A49C168">
                        <w:pPr>
                          <w:ind w:firstLine="632" w:firstLineChars="300"/>
                          <w:rPr>
                            <w:rFonts w:asciiTheme="minorEastAsia" w:hAnsiTheme="minorEastAsia" w:cstheme="minorEastAsia"/>
                            <w:b/>
                            <w:bCs/>
                          </w:rPr>
                        </w:pPr>
                        <w:r>
                          <w:rPr>
                            <w:rFonts w:hint="eastAsia" w:asciiTheme="minorEastAsia" w:hAnsiTheme="minorEastAsia" w:cstheme="minorEastAsia"/>
                            <w:b/>
                            <w:bCs/>
                          </w:rPr>
                          <w:t>会计基础</w:t>
                        </w:r>
                      </w:p>
                    </w:txbxContent>
                  </v:textbox>
                </v:rect>
                <v:rect id="矩形 146" o:spid="_x0000_s1026" o:spt="1" style="position:absolute;left:2060575;top:4386580;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5PavTX&#10;AAAABgEAAA8AAAAAAAAAAQAgAAAAIgAAAGRycy9kb3ducmV2LnhtbFBLAQIUABQAAAAIAIdO4kDZ&#10;Jnz/kwIAAFAFAAAOAAAAAAAAAAEAIAAAACYBAABkcnMvZTJvRG9jLnhtbFBLBQYAAAAABgAGAFkB&#10;AAArBgAAAAA=&#10;">
                  <v:fill on="t" focussize="0,0"/>
                  <v:stroke weight="1pt" color="#D9D9D9 [2732]" miterlimit="8" joinstyle="miter"/>
                  <v:imagedata o:title=""/>
                  <o:lock v:ext="edit" aspectratio="f"/>
                  <v:textbox inset="0mm,0mm,0mm,0mm">
                    <w:txbxContent>
                      <w:p w14:paraId="3EB2C282">
                        <w:pPr>
                          <w:jc w:val="center"/>
                          <w:rPr>
                            <w:rFonts w:asciiTheme="minorEastAsia" w:hAnsiTheme="minorEastAsia" w:cstheme="minorEastAsia"/>
                            <w:b/>
                            <w:bCs/>
                          </w:rPr>
                        </w:pPr>
                        <w:r>
                          <w:rPr>
                            <w:rFonts w:hint="eastAsia" w:asciiTheme="minorEastAsia" w:hAnsiTheme="minorEastAsia" w:cstheme="minorEastAsia"/>
                            <w:b/>
                            <w:bCs/>
                          </w:rPr>
                          <w:t>金融基础</w:t>
                        </w:r>
                      </w:p>
                      <w:p w14:paraId="24FFBFF7"/>
                    </w:txbxContent>
                  </v:textbox>
                </v:rect>
                <v:rect id="矩形 147" o:spid="_x0000_s1026" o:spt="1" style="position:absolute;left:3465195;top:4394835;height:252095;width:120396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sKGt&#10;BpECAABQBQAADgAAAAAAAAABACAAAAAmAQAAZHJzL2Uyb0RvYy54bWxQSwUGAAAAAAYABgBZAQAA&#10;KQYAAAAA&#10;">
                  <v:fill on="t" focussize="0,0"/>
                  <v:stroke weight="1pt" color="#D9D9D9 [2732]" miterlimit="8" joinstyle="miter"/>
                  <v:imagedata o:title=""/>
                  <o:lock v:ext="edit" aspectratio="f"/>
                  <v:textbox inset="0mm,0mm,0mm,0mm">
                    <w:txbxContent>
                      <w:p w14:paraId="1F7E3B81">
                        <w:pPr>
                          <w:jc w:val="center"/>
                          <w:rPr>
                            <w:rFonts w:asciiTheme="minorEastAsia" w:hAnsiTheme="minorEastAsia" w:cstheme="minorEastAsia"/>
                            <w:b/>
                            <w:bCs/>
                          </w:rPr>
                        </w:pPr>
                        <w:r>
                          <w:rPr>
                            <w:rFonts w:hint="eastAsia" w:asciiTheme="minorEastAsia" w:hAnsiTheme="minorEastAsia" w:cstheme="minorEastAsia"/>
                            <w:b/>
                            <w:bCs/>
                          </w:rPr>
                          <w:t>经济法基础</w:t>
                        </w:r>
                      </w:p>
                    </w:txbxContent>
                  </v:textbox>
                </v:rect>
                <v:rect id="矩形 153" o:spid="_x0000_s1026" o:spt="1" style="position:absolute;left:521335;top:5013960;height:2225675;width:4330065;v-text-anchor:middle;" filled="f" stroked="t" coordsize="21600,21600" o:gfxdata="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XmhJvXAAAABgEAAA8AAAAAAAAAAQAg&#10;AAAAIgAAAGRycy9kb3ducmV2LnhtbFBLAQIUABQAAAAIAIdO4kAWfAjlgQIAAOkEAAAOAAAAAAAA&#10;AAEAIAAAACYBAABkcnMvZTJvRG9jLnhtbFBLBQYAAAAABgAGAFkBAAAZBgAAAAA=&#10;">
                  <v:fill on="f" focussize="0,0"/>
                  <v:stroke weight="1pt" color="#FF0000" miterlimit="8" joinstyle="miter" dashstyle="longDash"/>
                  <v:imagedata o:title=""/>
                  <o:lock v:ext="edit" aspectratio="f"/>
                </v:rect>
                <v:rect id="矩形 154" o:spid="_x0000_s1026" o:spt="1" style="position:absolute;left:2139950;top:4840605;height:297815;width:1083945;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yJJh2AAAAAYBAAAPAAAAAAAAAAEAIAAAACIAAABkcnMvZG93bnJldi54bWxQ&#10;SwECFAAUAAAACACHTuJA0w7JSmkCAADBBAAADgAAAAAAAAABACAAAAAnAQAAZHJzL2Uyb0RvYy54&#10;bWxQSwUGAAAAAAYABgBZAQAAAgYAAAAA&#10;">
                  <v:fill on="t" focussize="0,0"/>
                  <v:stroke on="f"/>
                  <v:imagedata o:title=""/>
                  <o:lock v:ext="edit" aspectratio="f"/>
                  <v:textbox inset="0mm,0mm,0mm,0mm">
                    <w:txbxContent>
                      <w:p w14:paraId="6201D794">
                        <w:pPr>
                          <w:jc w:val="center"/>
                          <w:rPr>
                            <w:b/>
                            <w:bCs/>
                            <w:color w:val="FFFFFF" w:themeColor="background1"/>
                            <w:szCs w:val="21"/>
                            <w14:textFill>
                              <w14:solidFill>
                                <w14:schemeClr w14:val="bg1"/>
                              </w14:solidFill>
                            </w14:textFill>
                          </w:rPr>
                        </w:pPr>
                        <w:r>
                          <w:rPr>
                            <w:rFonts w:hint="eastAsia"/>
                            <w:b/>
                            <w:bCs/>
                            <w:color w:val="FFFFFF" w:themeColor="background1"/>
                            <w:szCs w:val="21"/>
                            <w14:textFill>
                              <w14:solidFill>
                                <w14:schemeClr w14:val="bg1"/>
                              </w14:solidFill>
                            </w14:textFill>
                          </w:rPr>
                          <w:t>公共基础模块</w:t>
                        </w:r>
                      </w:p>
                    </w:txbxContent>
                  </v:textbox>
                </v:rect>
                <v:rect id="矩形 164" o:spid="_x0000_s1026" o:spt="1" style="position:absolute;left:564515;top:5339080;height:1816100;width:2093595;v-text-anchor:middle;" filled="f" stroked="t" coordsize="21600,21600" o:gfxdata="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PXKpB1QAAAAYBAAAP&#10;AAAAAAAAAAEAIAAAACIAAABkcnMvZG93bnJldi54bWxQSwECFAAUAAAACACHTuJA98OqFo0CAAAK&#10;BQAADgAAAAAAAAABACAAAAAkAQAAZHJzL2Uyb0RvYy54bWxQSwUGAAAAAAYABgBZAQAAIwYAAAAA&#10;">
                  <v:fill on="f" focussize="0,0"/>
                  <v:stroke weight="1pt" color="#A6A6A6 [2092]" miterlimit="8" joinstyle="miter"/>
                  <v:imagedata o:title=""/>
                  <o:lock v:ext="edit" aspectratio="f"/>
                </v:rect>
                <v:rect id="矩形 165" o:spid="_x0000_s1026" o:spt="1" style="position:absolute;left:1076960;top:5201285;height:267970;width:949325;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IkmHYAAAABgEAAA8AAAAAAAAAAQAgAAAAIgAAAGRycy9kb3ducmV2LnhtbFBL&#10;AQIUABQAAAAIAIdO4kD8HH2XaAIAAMAEAAAOAAAAAAAAAAEAIAAAACcBAABkcnMvZTJvRG9jLnht&#10;bFBLBQYAAAAABgAGAFkBAAABBgAAAAA=&#10;">
                  <v:fill on="t" focussize="0,0"/>
                  <v:stroke on="f"/>
                  <v:imagedata o:title=""/>
                  <o:lock v:ext="edit" aspectratio="f"/>
                  <v:textbox inset="0mm,0mm,0mm,0mm">
                    <w:txbxContent>
                      <w:p w14:paraId="12CEBFBA">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必修模块</w:t>
                        </w:r>
                      </w:p>
                    </w:txbxContent>
                  </v:textbox>
                </v:rect>
                <v:rect id="矩形 168" o:spid="_x0000_s1026" o:spt="1" style="position:absolute;left:584835;top:556133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Al1k+l&#10;kAIAAE8FAAAOAAAAAAAAAAEAIAAAACYBAABkcnMvZTJvRG9jLnhtbFBLBQYAAAAABgAGAFkBAAAo&#10;BgAAAAA=&#10;">
                  <v:fill on="t" focussize="0,0"/>
                  <v:stroke weight="1pt" color="#D9D9D9 [2732]" miterlimit="8" joinstyle="miter"/>
                  <v:imagedata o:title=""/>
                  <o:lock v:ext="edit" aspectratio="f"/>
                  <v:textbox inset="0mm,0mm,0mm,0mm">
                    <w:txbxContent>
                      <w:p w14:paraId="42CA6E71">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中国特色社会主义</w:t>
                        </w:r>
                      </w:p>
                    </w:txbxContent>
                  </v:textbox>
                </v:rect>
                <v:rect id="矩形 169" o:spid="_x0000_s1026" o:spt="1" style="position:absolute;left:1632585;top:556133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DDhznF&#10;kAIAAFAFAAAOAAAAAAAAAAEAIAAAACYBAABkcnMvZTJvRG9jLnhtbFBLBQYAAAAABgAGAFkBAAAo&#10;BgAAAAA=&#10;">
                  <v:fill on="t" focussize="0,0"/>
                  <v:stroke weight="1pt" color="#D9D9D9 [2732]" miterlimit="8" joinstyle="miter"/>
                  <v:imagedata o:title=""/>
                  <o:lock v:ext="edit" aspectratio="f"/>
                  <v:textbox inset="0mm,0mm,0mm,0mm">
                    <w:txbxContent>
                      <w:p w14:paraId="60870E84">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心理健康与职业生涯</w:t>
                        </w:r>
                      </w:p>
                    </w:txbxContent>
                  </v:textbox>
                </v:rect>
                <v:rect id="矩形 170" o:spid="_x0000_s1026" o:spt="1" style="position:absolute;left:584200;top:587883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Hk9q9NcAAAAGAQAA&#10;DwAAAAAAAAABACAAAAAiAAAAZHJzL2Rvd25yZXYueG1sUEsBAhQAFAAAAAgAh07iQHZbhRyMAgAA&#10;TwUAAA4AAAAAAAAAAQAgAAAAJgEAAGRycy9lMm9Eb2MueG1sUEsFBgAAAAAGAAYAWQEAACQGAAAA&#10;AA==&#10;">
                  <v:fill on="t" focussize="0,0"/>
                  <v:stroke weight="1pt" color="#D9D9D9 [2732]" miterlimit="8" joinstyle="miter"/>
                  <v:imagedata o:title=""/>
                  <o:lock v:ext="edit" aspectratio="f"/>
                  <v:textbox inset="0mm,0mm,0mm,0mm">
                    <w:txbxContent>
                      <w:p w14:paraId="222CEA9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哲学与人生</w:t>
                        </w:r>
                      </w:p>
                    </w:txbxContent>
                  </v:textbox>
                </v:rect>
                <v:rect id="矩形 171" o:spid="_x0000_s1026" o:spt="1" style="position:absolute;left:1631950;top:587883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0+We&#10;HZECAABQBQAADgAAAAAAAAABACAAAAAmAQAAZHJzL2Uyb0RvYy54bWxQSwUGAAAAAAYABgBZAQAA&#10;KQYAAAAA&#10;">
                  <v:fill on="t" focussize="0,0"/>
                  <v:stroke weight="1pt" color="#D9D9D9 [2732]" miterlimit="8" joinstyle="miter"/>
                  <v:imagedata o:title=""/>
                  <o:lock v:ext="edit" aspectratio="f"/>
                  <v:textbox inset="0mm,0mm,0mm,0mm">
                    <w:txbxContent>
                      <w:p w14:paraId="1730D48C">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职业道德与法治</w:t>
                        </w:r>
                      </w:p>
                    </w:txbxContent>
                  </v:textbox>
                </v:rect>
                <v:rect id="矩形 172" o:spid="_x0000_s1026" o:spt="1" style="position:absolute;left:577215;top:6204585;height:252095;width:6502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k9q9NcA&#10;AAAGAQAADwAAAAAAAAABACAAAAAiAAAAZHJzL2Rvd25yZXYueG1sUEsBAhQAFAAAAAgAh07iQOaR&#10;UOiSAgAATgUAAA4AAAAAAAAAAQAgAAAAJgEAAGRycy9lMm9Eb2MueG1sUEsFBgAAAAAGAAYAWQEA&#10;ACoGAAAAAA==&#10;">
                  <v:fill on="t" focussize="0,0"/>
                  <v:stroke weight="1pt" color="#D9D9D9 [2732]" miterlimit="8" joinstyle="miter"/>
                  <v:imagedata o:title=""/>
                  <o:lock v:ext="edit" aspectratio="f"/>
                  <v:textbox inset="0mm,0mm,0mm,0mm">
                    <w:txbxContent>
                      <w:p w14:paraId="2E0AB22C">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语文</w:t>
                        </w:r>
                      </w:p>
                    </w:txbxContent>
                  </v:textbox>
                </v:rect>
                <v:rect id="矩形 174" o:spid="_x0000_s1026" o:spt="1" style="position:absolute;left:1259205;top:6205220;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k9q9NcAAAAG&#10;AQAADwAAAAAAAAABACAAAAAiAAAAZHJzL2Rvd25yZXYueG1sUEsBAhQAFAAAAAgAh07iQHqC5YGP&#10;AgAATwUAAA4AAAAAAAAAAQAgAAAAJgEAAGRycy9lMm9Eb2MueG1sUEsFBgAAAAAGAAYAWQEAACcG&#10;AAAAAA==&#10;">
                  <v:fill on="t" focussize="0,0"/>
                  <v:stroke weight="1pt" color="#D9D9D9 [2732]" miterlimit="8" joinstyle="miter"/>
                  <v:imagedata o:title=""/>
                  <o:lock v:ext="edit" aspectratio="f"/>
                  <v:textbox inset="0mm,0mm,0mm,0mm">
                    <w:txbxContent>
                      <w:p w14:paraId="0B7510F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历史</w:t>
                        </w:r>
                      </w:p>
                    </w:txbxContent>
                  </v:textbox>
                </v:rect>
                <v:rect id="矩形 175" o:spid="_x0000_s1026" o:spt="1" style="position:absolute;left:1958340;top:6203950;height:252095;width:68897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mnVm&#10;XZECAABPBQAADgAAAAAAAAABACAAAAAmAQAAZHJzL2Uyb0RvYy54bWxQSwUGAAAAAAYABgBZAQAA&#10;KQYAAAAA&#10;">
                  <v:fill on="t" focussize="0,0"/>
                  <v:stroke weight="1pt" color="#D9D9D9 [2732]" miterlimit="8" joinstyle="miter"/>
                  <v:imagedata o:title=""/>
                  <o:lock v:ext="edit" aspectratio="f"/>
                  <v:textbox inset="0mm,0mm,0mm,0mm">
                    <w:txbxContent>
                      <w:p w14:paraId="1E819D12">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数学</w:t>
                        </w:r>
                      </w:p>
                    </w:txbxContent>
                  </v:textbox>
                </v:rect>
                <v:rect id="矩形 176" o:spid="_x0000_s1026" o:spt="1" style="position:absolute;left:584200;top:6514465;height:252095;width:6502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CG3jtK&#10;kAIAAE4FAAAOAAAAAAAAAAEAIAAAACYBAABkcnMvZTJvRG9jLnhtbFBLBQYAAAAABgAGAFkBAAAo&#10;BgAAAAA=&#10;">
                  <v:fill on="t" focussize="0,0"/>
                  <v:stroke weight="1pt" color="#D9D9D9 [2732]" miterlimit="8" joinstyle="miter"/>
                  <v:imagedata o:title=""/>
                  <o:lock v:ext="edit" aspectratio="f"/>
                  <v:textbox inset="0mm,0mm,0mm,0mm">
                    <w:txbxContent>
                      <w:p w14:paraId="0CCFAA19">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英语</w:t>
                        </w:r>
                      </w:p>
                    </w:txbxContent>
                  </v:textbox>
                </v:rect>
                <v:rect id="矩形 177" o:spid="_x0000_s1026" o:spt="1" style="position:absolute;left:1266190;top:6515100;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BSZoKL&#10;kAIAAE8FAAAOAAAAAAAAAAEAIAAAACYBAABkcnMvZTJvRG9jLnhtbFBLBQYAAAAABgAGAFkBAAAo&#10;BgAAAAA=&#10;">
                  <v:fill on="t" focussize="0,0"/>
                  <v:stroke weight="1pt" color="#D9D9D9 [2732]" miterlimit="8" joinstyle="miter"/>
                  <v:imagedata o:title=""/>
                  <o:lock v:ext="edit" aspectratio="f"/>
                  <v:textbox inset="0mm,0mm,0mm,0mm">
                    <w:txbxContent>
                      <w:p w14:paraId="2C4BE83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信息技术</w:t>
                        </w:r>
                      </w:p>
                    </w:txbxContent>
                  </v:textbox>
                </v:rect>
                <v:rect id="矩形 178" o:spid="_x0000_s1026" o:spt="1" style="position:absolute;left:1965325;top:6513830;height:252095;width:68897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k9q9NcA&#10;AAAGAQAADwAAAAAAAAABACAAAAAiAAAAZHJzL2Rvd25yZXYueG1sUEsBAhQAFAAAAAgAh07iQJCg&#10;JciSAgAATwUAAA4AAAAAAAAAAQAgAAAAJgEAAGRycy9lMm9Eb2MueG1sUEsFBgAAAAAGAAYAWQEA&#10;ACoGAAAAAA==&#10;">
                  <v:fill on="t" focussize="0,0"/>
                  <v:stroke weight="1pt" color="#D9D9D9 [2732]" miterlimit="8" joinstyle="miter"/>
                  <v:imagedata o:title=""/>
                  <o:lock v:ext="edit" aspectratio="f"/>
                  <v:textbox inset="0mm,0mm,0mm,0mm">
                    <w:txbxContent>
                      <w:p w14:paraId="5DDC3DE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体育与健康</w:t>
                        </w:r>
                      </w:p>
                      <w:p w14:paraId="2171D4B4">
                        <w:pPr>
                          <w:jc w:val="center"/>
                          <w:rPr>
                            <w:rFonts w:asciiTheme="minorEastAsia" w:hAnsiTheme="minorEastAsia" w:cstheme="minorEastAsia"/>
                            <w:b/>
                            <w:bCs/>
                            <w:sz w:val="16"/>
                            <w:szCs w:val="18"/>
                          </w:rPr>
                        </w:pPr>
                      </w:p>
                    </w:txbxContent>
                  </v:textbox>
                </v:rect>
                <v:rect id="矩形 179" o:spid="_x0000_s1026" o:spt="1" style="position:absolute;left:583565;top:6832600;height:252095;width:6502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ZCYu&#10;DZECAABOBQAADgAAAAAAAAABACAAAAAmAQAAZHJzL2Uyb0RvYy54bWxQSwUGAAAAAAYABgBZAQAA&#10;KQYAAAAA&#10;">
                  <v:fill on="t" focussize="0,0"/>
                  <v:stroke weight="1pt" color="#D9D9D9 [2732]" miterlimit="8" joinstyle="miter"/>
                  <v:imagedata o:title=""/>
                  <o:lock v:ext="edit" aspectratio="f"/>
                  <v:textbox inset="0mm,0mm,0mm,0mm">
                    <w:txbxContent>
                      <w:p w14:paraId="39657D6D">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艺术</w:t>
                        </w:r>
                      </w:p>
                    </w:txbxContent>
                  </v:textbox>
                </v:rect>
                <v:rect id="矩形 180" o:spid="_x0000_s1026" o:spt="1" style="position:absolute;left:1265555;top:6833235;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k9q9NcAAAAG&#10;AQAADwAAAAAAAAABACAAAAAiAAAAZHJzL2Rvd25yZXYueG1sUEsBAhQAFAAAAAgAh07iQFbEFBOP&#10;AgAATwUAAA4AAAAAAAAAAQAgAAAAJgEAAGRycy9lMm9Eb2MueG1sUEsFBgAAAAAGAAYAWQEAACcG&#10;AAAAAA==&#10;">
                  <v:fill on="t" focussize="0,0"/>
                  <v:stroke weight="1pt" color="#D9D9D9 [2732]" miterlimit="8" joinstyle="miter"/>
                  <v:imagedata o:title=""/>
                  <o:lock v:ext="edit" aspectratio="f"/>
                  <v:textbox inset="0mm,0mm,0mm,0mm">
                    <w:txbxContent>
                      <w:p w14:paraId="631C5158">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劳动教育</w:t>
                        </w:r>
                      </w:p>
                    </w:txbxContent>
                  </v:textbox>
                </v:rect>
                <v:rect id="矩形 182" o:spid="_x0000_s1026" o:spt="1" style="position:absolute;left:2727960;top:5342890;height:1816100;width:2093595;v-text-anchor:middle;" filled="f" stroked="t" coordsize="21600,21600" o:gfxdata="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9cqkHVAAAABgEAAA8A&#10;AAAAAAAAAQAgAAAAIgAAAGRycy9kb3ducmV2LnhtbFBLAQIUABQAAAAIAIdO4kDFRiGvjAIAAAsF&#10;AAAOAAAAAAAAAAEAIAAAACQBAABkcnMvZTJvRG9jLnhtbFBLBQYAAAAABgAGAFkBAAAiBgAAAAA=&#10;">
                  <v:fill on="f" focussize="0,0"/>
                  <v:stroke weight="1pt" color="#A6A6A6 [2092]" miterlimit="8" joinstyle="miter"/>
                  <v:imagedata o:title=""/>
                  <o:lock v:ext="edit" aspectratio="f"/>
                </v:rect>
                <v:rect id="矩形 183" o:spid="_x0000_s1026" o:spt="1" style="position:absolute;left:3240405;top:5205095;height:267970;width:949325;v-text-anchor:middle;" fillcolor="#558ED5 [1951]" filled="t" stroked="f" coordsize="21600,21600" o:gfxdata="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iSYdgAAAAGAQAADwAAAAAAAAABACAAAAAiAAAAZHJzL2Rvd25yZXYueG1sUEsB&#10;AhQAFAAAAAgAh07iQMXHlSVnAgAAwAQAAA4AAAAAAAAAAQAgAAAAJwEAAGRycy9lMm9Eb2MueG1s&#10;UEsFBgAAAAAGAAYAWQEAAAAGAAAAAA==&#10;">
                  <v:fill on="t" focussize="0,0"/>
                  <v:stroke on="f"/>
                  <v:imagedata o:title=""/>
                  <o:lock v:ext="edit" aspectratio="f"/>
                  <v:textbox inset="0mm,0mm,0mm,0mm">
                    <w:txbxContent>
                      <w:p w14:paraId="31A9B6B6">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选修模块</w:t>
                        </w:r>
                      </w:p>
                    </w:txbxContent>
                  </v:textbox>
                </v:rect>
                <v:rect id="矩形 184" o:spid="_x0000_s1026" o:spt="1" style="position:absolute;left:2748280;top:5565140;height:252095;width:206946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5PavTX&#10;AAAABgEAAA8AAAAAAAAAAQAgAAAAIgAAAGRycy9kb3ducmV2LnhtbFBLAQIUABQAAAAIAIdO4kDz&#10;VJmWkwIAAFAFAAAOAAAAAAAAAAEAIAAAACYBAABkcnMvZTJvRG9jLnhtbFBLBQYAAAAABgAGAFkB&#10;AAArBgAAAAA=&#10;">
                  <v:fill on="t" focussize="0,0"/>
                  <v:stroke weight="1pt" color="#D9D9D9 [2732]" miterlimit="8" joinstyle="miter"/>
                  <v:imagedata o:title=""/>
                  <o:lock v:ext="edit" aspectratio="f"/>
                  <v:textbox inset="0mm,0mm,0mm,0mm">
                    <w:txbxContent>
                      <w:p w14:paraId="195FD81F">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习近平新时代中国特色社会主义思想概论</w:t>
                        </w:r>
                      </w:p>
                    </w:txbxContent>
                  </v:textbox>
                </v:rect>
                <v:rect id="矩形 186" o:spid="_x0000_s1026" o:spt="1" style="position:absolute;left:2747645;top:588264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I6+5&#10;hZECAABQBQAADgAAAAAAAAABACAAAAAmAQAAZHJzL2Uyb0RvYy54bWxQSwUGAAAAAAYABgBZAQAA&#10;KQYAAAAA&#10;">
                  <v:fill on="t" focussize="0,0"/>
                  <v:stroke weight="1pt" color="#D9D9D9 [2732]" miterlimit="8" joinstyle="miter"/>
                  <v:imagedata o:title=""/>
                  <o:lock v:ext="edit" aspectratio="f"/>
                  <v:textbox inset="0mm,0mm,0mm,0mm">
                    <w:txbxContent>
                      <w:p w14:paraId="4DE32DB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中华优秀传统文化</w:t>
                        </w:r>
                      </w:p>
                    </w:txbxContent>
                  </v:textbox>
                </v:rect>
                <v:rect id="矩形 187" o:spid="_x0000_s1026" o:spt="1" style="position:absolute;left:3795395;top:5882640;height:252095;width:101409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AohWKe&#10;kAIAAFAFAAAOAAAAAAAAAAEAIAAAACYBAABkcnMvZTJvRG9jLnhtbFBLBQYAAAAABgAGAFkBAAAo&#10;BgAAAAA=&#10;">
                  <v:fill on="t" focussize="0,0"/>
                  <v:stroke weight="1pt" color="#D9D9D9 [2732]" miterlimit="8" joinstyle="miter"/>
                  <v:imagedata o:title=""/>
                  <o:lock v:ext="edit" aspectratio="f"/>
                  <v:textbox inset="0mm,0mm,0mm,0mm">
                    <w:txbxContent>
                      <w:p w14:paraId="271BCB17">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四史教育</w:t>
                        </w:r>
                      </w:p>
                    </w:txbxContent>
                  </v:textbox>
                </v:rect>
                <v:rect id="矩形 188" o:spid="_x0000_s1026" o:spt="1" style="position:absolute;left:2740660;top:6200775;height:252095;width:10312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k9q9NcA&#10;AAAGAQAADwAAAAAAAAABACAAAAAiAAAAZHJzL2Rvd25yZXYueG1sUEsBAhQAFAAAAAgAh07iQOBV&#10;Z02SAgAAUAUAAA4AAAAAAAAAAQAgAAAAJgEAAGRycy9lMm9Eb2MueG1sUEsFBgAAAAAGAAYAWQEA&#10;ACoGAAAAAA==&#10;">
                  <v:fill on="t" focussize="0,0"/>
                  <v:stroke weight="1pt" color="#D9D9D9 [2732]" miterlimit="8" joinstyle="miter"/>
                  <v:imagedata o:title=""/>
                  <o:lock v:ext="edit" aspectratio="f"/>
                  <v:textbox inset="0mm,0mm,0mm,0mm">
                    <w:txbxContent>
                      <w:p w14:paraId="5C567199">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职业素养</w:t>
                        </w:r>
                      </w:p>
                    </w:txbxContent>
                  </v:textbox>
                </v:rect>
                <v:rect id="矩形 189" o:spid="_x0000_s1026" o:spt="1" style="position:absolute;left:3803650;top:6200775;height:252095;width:101219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k9q9NcA&#10;AAAGAQAADwAAAAAAAAABACAAAAAiAAAAZHJzL2Rvd25yZXYueG1sUEsBAhQAFAAAAAgAh07iQC/C&#10;ozGSAgAAUAUAAA4AAAAAAAAAAQAgAAAAJgEAAGRycy9lMm9Eb2MueG1sUEsFBgAAAAAGAAYAWQEA&#10;ACoGAAAAAA==&#10;">
                  <v:fill on="t" focussize="0,0"/>
                  <v:stroke weight="1pt" color="#D9D9D9 [2732]" miterlimit="8" joinstyle="miter"/>
                  <v:imagedata o:title=""/>
                  <o:lock v:ext="edit" aspectratio="f"/>
                  <v:textbox inset="0mm,0mm,0mm,0mm">
                    <w:txbxContent>
                      <w:p w14:paraId="4FEB5230">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创新创业教育</w:t>
                        </w:r>
                      </w:p>
                    </w:txbxContent>
                  </v:textbox>
                </v:rect>
                <v:rect id="矩形 191" o:spid="_x0000_s1026" o:spt="1" style="position:absolute;left:2747645;top:6518275;height:252095;width:6502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5PavTX&#10;AAAABgEAAA8AAAAAAAAAAQAgAAAAIgAAAGRycy9kb3ducmV2LnhtbFBLAQIUABQAAAAIAIdO4kA9&#10;VfNOkwIAAE8FAAAOAAAAAAAAAAEAIAAAACYBAABkcnMvZTJvRG9jLnhtbFBLBQYAAAAABgAGAFkB&#10;AAArBgAAAAA=&#10;">
                  <v:fill on="t" focussize="0,0"/>
                  <v:stroke weight="1pt" color="#D9D9D9 [2732]" miterlimit="8" joinstyle="miter"/>
                  <v:imagedata o:title=""/>
                  <o:lock v:ext="edit" aspectratio="f"/>
                  <v:textbox inset="0mm,0mm,0mm,0mm">
                    <w:txbxContent>
                      <w:p w14:paraId="3870A566">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安全教育</w:t>
                        </w:r>
                      </w:p>
                    </w:txbxContent>
                  </v:textbox>
                </v:rect>
                <v:rect id="矩形 192" o:spid="_x0000_s1026" o:spt="1" style="position:absolute;left:3429635;top:6518910;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5PavTX&#10;AAAABgEAAA8AAAAAAAAAAQAgAAAAIgAAAGRycy9kb3ducmV2LnhtbFBLAQIUABQAAAAIAIdO4kAF&#10;LWUYkwIAAE8FAAAOAAAAAAAAAAEAIAAAACYBAABkcnMvZTJvRG9jLnhtbFBLBQYAAAAABgAGAFkB&#10;AAArBgAAAAA=&#10;">
                  <v:fill on="t" focussize="0,0"/>
                  <v:stroke weight="1pt" color="#D9D9D9 [2732]" miterlimit="8" joinstyle="miter"/>
                  <v:imagedata o:title=""/>
                  <o:lock v:ext="edit" aspectratio="f"/>
                  <v:textbox inset="0mm,0mm,0mm,0mm">
                    <w:txbxContent>
                      <w:p w14:paraId="3D382305">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健康教育</w:t>
                        </w:r>
                      </w:p>
                    </w:txbxContent>
                  </v:textbox>
                </v:rect>
                <v:rect id="矩形 193" o:spid="_x0000_s1026" o:spt="1" style="position:absolute;left:4128770;top:6517640;height:252095;width:688975;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5PavTXAAAA&#10;BgEAAA8AAAAAAAAAAQAgAAAAIgAAAGRycy9kb3ducmV2LnhtbFBLAQIUABQAAAAIAIdO4kD0j/aM&#10;kAIAAE8FAAAOAAAAAAAAAAEAIAAAACYBAABkcnMvZTJvRG9jLnhtbFBLBQYAAAAABgAGAFkBAAAo&#10;BgAAAAA=&#10;">
                  <v:fill on="t" focussize="0,0"/>
                  <v:stroke weight="1pt" color="#D9D9D9 [2732]" miterlimit="8" joinstyle="miter"/>
                  <v:imagedata o:title=""/>
                  <o:lock v:ext="edit" aspectratio="f"/>
                  <v:textbox inset="0mm,0mm,0mm,0mm">
                    <w:txbxContent>
                      <w:p w14:paraId="56886534">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环保教育</w:t>
                        </w:r>
                      </w:p>
                    </w:txbxContent>
                  </v:textbox>
                </v:rect>
                <v:rect id="矩形 195" o:spid="_x0000_s1026" o:spt="1" style="position:absolute;left:2762250;top:6837045;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T2r01wAA&#10;AAYBAAAPAAAAAAAAAAEAIAAAACIAAABkcnMvZG93bnJldi54bWxQSwECFAAUAAAACACHTuJArpDk&#10;TJECAABPBQAADgAAAAAAAAABACAAAAAmAQAAZHJzL2Uyb0RvYy54bWxQSwUGAAAAAAYABgBZAQAA&#10;KQYAAAAA&#10;">
                  <v:fill on="t" focussize="0,0"/>
                  <v:stroke weight="1pt" color="#D9D9D9 [2732]" miterlimit="8" joinstyle="miter"/>
                  <v:imagedata o:title=""/>
                  <o:lock v:ext="edit" aspectratio="f"/>
                  <v:textbox inset="0mm,0mm,0mm,0mm">
                    <w:txbxContent>
                      <w:p w14:paraId="64E331FB">
                        <w:pPr>
                          <w:jc w:val="center"/>
                          <w:rPr>
                            <w:rFonts w:asciiTheme="minorEastAsia" w:hAnsiTheme="minorEastAsia" w:cstheme="minorEastAsia"/>
                            <w:b/>
                            <w:bCs/>
                            <w:sz w:val="16"/>
                            <w:szCs w:val="18"/>
                          </w:rPr>
                        </w:pPr>
                        <w:r>
                          <w:rPr>
                            <w:rFonts w:hint="eastAsia" w:asciiTheme="minorEastAsia" w:hAnsiTheme="minorEastAsia" w:cstheme="minorEastAsia"/>
                            <w:b/>
                            <w:bCs/>
                            <w:sz w:val="16"/>
                            <w:szCs w:val="18"/>
                          </w:rPr>
                          <w:t>海洋科学</w:t>
                        </w:r>
                      </w:p>
                    </w:txbxContent>
                  </v:textbox>
                </v:rect>
                <v:rect id="矩形 197" o:spid="_x0000_s1026" o:spt="1" style="position:absolute;left:4967605;top:2247900;height:2996565;width:203200;v-text-anchor:middle;" fillcolor="#558ED5 [1951]" filled="t" stroked="f" coordsize="21600,21600" o:gfxdata="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mohibZAAAABgEAAA8AAAAAAAAAAQAgAAAAIgAAAGRycy9kb3ducmV2LnhtbFBLAQIU&#10;ABQAAAAIAIdO4kDQznzrnQIAABwFAAAOAAAAAAAAAAEAIAAAACgBAABkcnMvZTJvRG9jLnhtbFBL&#10;BQYAAAAABgAGAFkBAAA3BgAAAAA=&#10;">
                  <v:fill on="t" focussize="0,0"/>
                  <v:stroke on="f" weight="1pt" miterlimit="8" joinstyle="miter"/>
                  <v:imagedata o:title=""/>
                  <o:lock v:ext="edit" aspectratio="f"/>
                  <v:textbox inset="0mm,0mm,0mm,0mm">
                    <w:txbxContent>
                      <w:p w14:paraId="2712963B">
                        <w:pPr>
                          <w:spacing w:line="240" w:lineRule="exact"/>
                          <w:jc w:val="center"/>
                          <w:rPr>
                            <w:rFonts w:hint="default" w:eastAsiaTheme="minorEastAsia"/>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岗课赛证四维融通</w:t>
                        </w:r>
                      </w:p>
                    </w:txbxContent>
                  </v:textbox>
                </v:rect>
                <v:rect id="矩形 198" o:spid="_x0000_s1026" o:spt="1" style="position:absolute;left:127000;top:2279650;height:2996565;width:203200;v-text-anchor:middle;" fillcolor="#558ED5 [1951]" filled="t" stroked="f" coordsize="21600,21600" o:gfxdata="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aiGJtkAAAAGAQAADwAAAAAAAAABACAAAAAiAAAAZHJzL2Rvd25yZXYueG1sUEsBAhQAFAAAAAgA&#10;h07iQF32A06WAgAAGwUAAA4AAAAAAAAAAQAgAAAAKAEAAGRycy9lMm9Eb2MueG1sUEsFBgAAAAAG&#10;AAYAWQEAADAGAAAAAA==&#10;">
                  <v:fill on="t" focussize="0,0"/>
                  <v:stroke on="f" weight="1pt" miterlimit="8" joinstyle="miter"/>
                  <v:imagedata o:title=""/>
                  <o:lock v:ext="edit" aspectratio="f"/>
                  <v:textbox inset="0mm,0mm,0mm,0mm">
                    <w:txbxContent>
                      <w:p w14:paraId="54936880">
                        <w:pPr>
                          <w:spacing w:line="24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课程思政三全育人</w:t>
                        </w:r>
                      </w:p>
                    </w:txbxContent>
                  </v:textbox>
                </v:rect>
                <v:line id="直接连接符 199" o:spid="_x0000_s1026" o:spt="20" style="position:absolute;left:247650;top:1174750;flip:x;height:0;width:204470;"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Xj7F1gAAAAYBAAAPAAAAAAAAAAEAIAAAACIAAABkcnMvZG93bnJldi54bWxQSwECFAAUAAAACACH&#10;TuJALTl5b+0BAAC0AwAADgAAAAAAAAABACAAAAAlAQAAZHJzL2Uyb0RvYy54bWxQSwUGAAAAAAYA&#10;BgBZAQAAhAUAAAAA&#10;">
                  <v:fill on="f" focussize="0,0"/>
                  <v:stroke weight="1.5pt" color="#FF0000" joinstyle="round" dashstyle="1 1" endcap="round"/>
                  <v:imagedata o:title=""/>
                  <o:lock v:ext="edit" aspectratio="f"/>
                </v:line>
                <v:line id="直接连接符 200" o:spid="_x0000_s1026" o:spt="20" style="position:absolute;left:234315;top:1176020;flip:y;height:1057910;width:7620;"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jXj7F1gAAAAYBAAAPAAAAAAAAAAEAIAAAACIAAABkcnMvZG93bnJldi54bWxQSwECFAAUAAAA&#10;CACHTuJAMEVpY/ABAAC4AwAADgAAAAAAAAABACAAAAAlAQAAZHJzL2Uyb0RvYy54bWxQSwUGAAAA&#10;AAYABgBZAQAAhwUAAAAA&#10;">
                  <v:fill on="f" focussize="0,0"/>
                  <v:stroke weight="1.5pt" color="#FF0000" joinstyle="round" dashstyle="1 1" endcap="round"/>
                  <v:imagedata o:title=""/>
                  <o:lock v:ext="edit" aspectratio="f"/>
                </v:line>
                <v:line id="直接连接符 201" o:spid="_x0000_s1026" o:spt="20" style="position:absolute;left:5069205;top:1151890;flip:y;height:1096010;width:2540;"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14+xdYAAAAGAQAADwAAAAAAAAABACAAAAAiAAAAZHJzL2Rvd25yZXYueG1sUEsBAhQAFAAA&#10;AAgAh07iQC6t2TnxAQAAuQMAAA4AAAAAAAAAAQAgAAAAJQEAAGRycy9lMm9Eb2MueG1sUEsFBgAA&#10;AAAGAAYAWQEAAIgFAAAAAA==&#10;">
                  <v:fill on="f" focussize="0,0"/>
                  <v:stroke weight="1.5pt" color="#FF0000" joinstyle="round" dashstyle="1 1" endcap="round"/>
                  <v:imagedata o:title=""/>
                  <o:lock v:ext="edit" aspectratio="f"/>
                </v:line>
                <v:line id="直接连接符 202" o:spid="_x0000_s1026" o:spt="20" style="position:absolute;left:4833620;top:1143635;flip:x;height:0;width:204470;"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NePsXWAAAABgEAAA8AAAAAAAAAAQAgAAAAIgAAAGRycy9kb3ducmV2LnhtbFBLAQIUABQA&#10;AAAIAIdO4kAr3yZS8gEAALUDAAAOAAAAAAAAAAEAIAAAACUBAABkcnMvZTJvRG9jLnhtbFBLBQYA&#10;AAAABgAGAFkBAACJBQAAAAA=&#10;">
                  <v:fill on="f" focussize="0,0"/>
                  <v:stroke weight="1.5pt" color="#FF0000" joinstyle="round" dashstyle="1 1" endcap="round"/>
                  <v:imagedata o:title=""/>
                  <o:lock v:ext="edit" aspectratio="f"/>
                </v:line>
                <v:line id="直接连接符 203" o:spid="_x0000_s1026" o:spt="20" style="position:absolute;left:228600;top:5276215;flip:x y;height:1035685;width:7620;" filled="f" stroked="t" coordsize="21600,21600" o:gfxdata="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PqaoNYAAAAGAQAADwAAAAAAAAABACAAAAAiAAAAZHJzL2Rvd25yZXYueG1sUEsB&#10;AhQAFAAAAAgAh07iQBBDGwb3AQAAwgMAAA4AAAAAAAAAAQAgAAAAJQEAAGRycy9lMm9Eb2MueG1s&#10;UEsFBgAAAAAGAAYAWQEAAI4FAAAAAA==&#10;">
                  <v:fill on="f" focussize="0,0"/>
                  <v:stroke weight="1.5pt" color="#FF0000" joinstyle="round" dashstyle="1 1" endcap="round"/>
                  <v:imagedata o:title=""/>
                  <o:lock v:ext="edit" aspectratio="f"/>
                </v:line>
                <v:line id="直接连接符 204" o:spid="_x0000_s1026" o:spt="20" style="position:absolute;left:5062220;top:5244465;flip:y;height:1028065;width:6985;"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Xj7F1gAAAAYBAAAPAAAAAAAAAAEAIAAAACIAAABkcnMvZG93bnJldi54bWxQSwECFAAU&#10;AAAACACHTuJAIElRBfMBAAC5AwAADgAAAAAAAAABACAAAAAlAQAAZHJzL2Uyb0RvYy54bWxQSwUG&#10;AAAAAAYABgBZAQAAigUAAAAA&#10;">
                  <v:fill on="f" focussize="0,0"/>
                  <v:stroke weight="1.5pt" color="#FF0000" joinstyle="round" dashstyle="1 1" endcap="round"/>
                  <v:imagedata o:title=""/>
                  <o:lock v:ext="edit" aspectratio="f"/>
                </v:line>
                <v:line id="直接连接符 205" o:spid="_x0000_s1026" o:spt="20" style="position:absolute;left:246380;top:6318885;flip:x;height:0;width:204470;"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14+xdYAAAAGAQAADwAAAAAAAAABACAAAAAiAAAAZHJzL2Rvd25yZXYueG1sUEsBAhQAFAAA&#10;AAgAh07iQEsmNzrxAQAAtAMAAA4AAAAAAAAAAQAgAAAAJQEAAGRycy9lMm9Eb2MueG1sUEsFBgAA&#10;AAAGAAYAWQEAAIgFAAAAAA==&#10;">
                  <v:fill on="f" focussize="0,0"/>
                  <v:stroke weight="1.5pt" color="#FF0000" joinstyle="round" dashstyle="1 1" endcap="round"/>
                  <v:imagedata o:title=""/>
                  <o:lock v:ext="edit" aspectratio="f"/>
                </v:line>
                <v:line id="直接连接符 206" o:spid="_x0000_s1026" o:spt="20" style="position:absolute;left:4871720;top:6286500;flip:x;height:6985;width:139065;" filled="f" stroked="t" coordsize="21600,21600" o:gfxdata="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Xj7F1gAAAAYBAAAPAAAAAAAAAAEAIAAAACIAAABkcnMvZG93bnJldi54bWxQSwECFAAU&#10;AAAACACHTuJAZYvQLvMBAAC4AwAADgAAAAAAAAABACAAAAAlAQAAZHJzL2Uyb0RvYy54bWxQSwUG&#10;AAAAAAYABgBZAQAAigUAAAAA&#10;">
                  <v:fill on="f" focussize="0,0"/>
                  <v:stroke weight="1.5pt" color="#FF0000" joinstyle="round" dashstyle="1 1" endcap="round"/>
                  <v:imagedata o:title=""/>
                  <o:lock v:ext="edit" aspectratio="f"/>
                </v:line>
                <v:rect id="矩形 509487170" o:spid="_x0000_s1026" o:spt="1" style="position:absolute;left:3465830;top:6842057;height:252095;width:662940;v-text-anchor:middle;" fillcolor="#D9D9D9 [2732]" filled="t" stroked="t" coordsize="21600,21600" o:gfxdata="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eT2r01wAAAAYBAAAPAAAAAAAA&#10;AAEAIAAAACIAAABkcnMvZG93bnJldi54bWxQSwECFAAUAAAACACHTuJAavyq64UCAAAlBQAADgAA&#10;AAAAAAABACAAAAAmAQAAZHJzL2Uyb0RvYy54bWxQSwUGAAAAAAYABgBZAQAAHQYAAAAA&#10;">
                  <v:fill on="t" focussize="0,0"/>
                  <v:stroke weight="1pt" color="#D9D9D9 [2732]" miterlimit="8" joinstyle="miter"/>
                  <v:imagedata o:title=""/>
                  <o:lock v:ext="edit" aspectratio="f"/>
                  <v:textbox inset="0mm,0mm,0mm,0mm">
                    <w:txbxContent>
                      <w:p w14:paraId="7A6BFEA9">
                        <w:pPr>
                          <w:jc w:val="center"/>
                          <w:rPr>
                            <w:rFonts w:ascii="Calibri"/>
                            <w:b/>
                            <w:bCs/>
                            <w:sz w:val="16"/>
                            <w:szCs w:val="16"/>
                          </w:rPr>
                        </w:pPr>
                        <w:r>
                          <w:rPr>
                            <w:rFonts w:hint="eastAsia" w:ascii="Calibri"/>
                            <w:b/>
                            <w:bCs/>
                            <w:sz w:val="16"/>
                            <w:szCs w:val="16"/>
                          </w:rPr>
                          <w:t>社交礼仪</w:t>
                        </w:r>
                      </w:p>
                    </w:txbxContent>
                  </v:textbox>
                </v:rect>
                <w10:wrap type="none"/>
                <w10:anchorlock/>
              </v:group>
            </w:pict>
          </mc:Fallback>
        </mc:AlternateContent>
      </w:r>
    </w:p>
    <w:p w14:paraId="57891393">
      <w:pPr>
        <w:pStyle w:val="2"/>
        <w:ind w:firstLine="0" w:firstLineChars="0"/>
        <w:jc w:val="center"/>
        <w:rPr>
          <w:rFonts w:ascii="仿宋_GB2312" w:hAnsi="黑体" w:eastAsia="仿宋_GB2312"/>
          <w:sz w:val="24"/>
          <w:szCs w:val="24"/>
        </w:rPr>
      </w:pPr>
      <w:r>
        <w:rPr>
          <w:rFonts w:hint="eastAsia" w:ascii="仿宋_GB2312" w:hAnsi="黑体"/>
          <w:szCs w:val="21"/>
        </w:rPr>
        <w:t xml:space="preserve">图2 </w:t>
      </w:r>
      <w:r>
        <w:rPr>
          <w:rFonts w:ascii="仿宋_GB2312" w:hAnsi="黑体"/>
          <w:szCs w:val="21"/>
        </w:rPr>
        <w:t xml:space="preserve"> </w:t>
      </w:r>
      <w:r>
        <w:rPr>
          <w:rFonts w:hint="eastAsia" w:ascii="仿宋_GB2312" w:hAnsi="黑体"/>
          <w:szCs w:val="21"/>
        </w:rPr>
        <w:t>模块化课程结构体系图</w:t>
      </w:r>
    </w:p>
    <w:p w14:paraId="6AD0B5B0">
      <w:pPr>
        <w:pStyle w:val="3"/>
        <w:numPr>
          <w:ilvl w:val="0"/>
          <w:numId w:val="0"/>
        </w:numPr>
        <w:shd w:val="clear"/>
        <w:snapToGrid w:val="0"/>
        <w:spacing w:before="0" w:after="0" w:line="400" w:lineRule="exact"/>
        <w:ind w:firstLine="480" w:firstLineChars="200"/>
        <w:jc w:val="both"/>
        <w:rPr>
          <w:rFonts w:hint="eastAsia" w:ascii="楷体" w:hAnsi="楷体" w:eastAsia="楷体"/>
          <w:color w:val="auto"/>
          <w:sz w:val="24"/>
          <w:szCs w:val="24"/>
          <w:lang w:val="en-US" w:eastAsia="zh-CN"/>
        </w:rPr>
      </w:pPr>
      <w:bookmarkStart w:id="20" w:name="_Toc9663"/>
      <w:bookmarkStart w:id="21" w:name="_Toc530755377"/>
      <w:r>
        <w:rPr>
          <w:rFonts w:hint="eastAsia" w:ascii="楷体" w:hAnsi="楷体" w:eastAsia="楷体"/>
          <w:color w:val="auto"/>
          <w:sz w:val="24"/>
          <w:szCs w:val="24"/>
          <w:lang w:val="en-US" w:eastAsia="zh-CN"/>
        </w:rPr>
        <w:t>（二）课程设置</w:t>
      </w:r>
      <w:bookmarkEnd w:id="20"/>
    </w:p>
    <w:p w14:paraId="2B5C9FAB">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1.公共基础课</w:t>
      </w:r>
      <w:bookmarkEnd w:id="21"/>
      <w:r>
        <w:rPr>
          <w:rFonts w:hint="eastAsia" w:ascii="仿宋_GB2312" w:hAnsi="黑体" w:eastAsia="仿宋_GB2312"/>
          <w:sz w:val="24"/>
          <w:szCs w:val="24"/>
        </w:rPr>
        <w:t>程</w:t>
      </w:r>
    </w:p>
    <w:p w14:paraId="73CFE174">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公共基础必修课程教学要求</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23"/>
        <w:gridCol w:w="5474"/>
        <w:gridCol w:w="846"/>
      </w:tblGrid>
      <w:tr w14:paraId="0C75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shd w:val="clear" w:color="auto" w:fill="D7D7D7" w:themeFill="background1" w:themeFillShade="D8"/>
            <w:vAlign w:val="center"/>
          </w:tcPr>
          <w:p w14:paraId="7F644C9F">
            <w:pPr>
              <w:pStyle w:val="2"/>
              <w:snapToGrid w:val="0"/>
              <w:spacing w:line="336" w:lineRule="auto"/>
              <w:ind w:firstLine="0" w:firstLineChars="0"/>
              <w:jc w:val="center"/>
              <w:rPr>
                <w:rFonts w:ascii="宋体" w:hAnsi="宋体" w:eastAsia="宋体"/>
                <w:b/>
                <w:bCs/>
                <w:kern w:val="0"/>
                <w:szCs w:val="21"/>
              </w:rPr>
            </w:pPr>
            <w:r>
              <w:rPr>
                <w:rFonts w:hint="eastAsia" w:ascii="宋体" w:hAnsi="宋体" w:eastAsia="宋体"/>
                <w:b/>
                <w:bCs/>
                <w:kern w:val="0"/>
                <w:szCs w:val="21"/>
              </w:rPr>
              <w:t>序号</w:t>
            </w:r>
          </w:p>
        </w:tc>
        <w:tc>
          <w:tcPr>
            <w:tcW w:w="1538" w:type="dxa"/>
            <w:shd w:val="clear" w:color="auto" w:fill="D7D7D7" w:themeFill="background1" w:themeFillShade="D8"/>
            <w:vAlign w:val="center"/>
          </w:tcPr>
          <w:p w14:paraId="35783888">
            <w:pPr>
              <w:pStyle w:val="2"/>
              <w:snapToGrid w:val="0"/>
              <w:spacing w:line="336" w:lineRule="auto"/>
              <w:ind w:firstLine="0" w:firstLineChars="0"/>
              <w:jc w:val="center"/>
              <w:rPr>
                <w:rFonts w:ascii="仿宋_GB2312" w:hAnsi="微软雅黑" w:cs="宋体"/>
                <w:sz w:val="28"/>
                <w:szCs w:val="28"/>
              </w:rPr>
            </w:pPr>
            <w:r>
              <w:rPr>
                <w:rFonts w:hint="eastAsia" w:ascii="宋体" w:hAnsi="宋体" w:eastAsia="宋体"/>
                <w:b/>
                <w:bCs/>
                <w:kern w:val="0"/>
                <w:szCs w:val="21"/>
              </w:rPr>
              <w:t>课程名称</w:t>
            </w:r>
          </w:p>
        </w:tc>
        <w:tc>
          <w:tcPr>
            <w:tcW w:w="5550" w:type="dxa"/>
            <w:shd w:val="clear" w:color="auto" w:fill="D7D7D7" w:themeFill="background1" w:themeFillShade="D8"/>
            <w:vAlign w:val="center"/>
          </w:tcPr>
          <w:p w14:paraId="291B2E1E">
            <w:pPr>
              <w:pStyle w:val="2"/>
              <w:snapToGrid w:val="0"/>
              <w:spacing w:line="336" w:lineRule="auto"/>
              <w:ind w:firstLine="0" w:firstLineChars="0"/>
              <w:jc w:val="center"/>
              <w:rPr>
                <w:rFonts w:ascii="仿宋_GB2312" w:hAnsi="微软雅黑" w:cs="宋体"/>
                <w:sz w:val="28"/>
                <w:szCs w:val="28"/>
              </w:rPr>
            </w:pPr>
            <w:r>
              <w:rPr>
                <w:rFonts w:hint="eastAsia" w:ascii="宋体" w:hAnsi="宋体" w:eastAsia="宋体"/>
                <w:b/>
                <w:bCs/>
                <w:kern w:val="0"/>
                <w:szCs w:val="21"/>
              </w:rPr>
              <w:t>教学内容与要求</w:t>
            </w:r>
          </w:p>
        </w:tc>
        <w:tc>
          <w:tcPr>
            <w:tcW w:w="752" w:type="dxa"/>
            <w:shd w:val="clear" w:color="auto" w:fill="D7D7D7" w:themeFill="background1" w:themeFillShade="D8"/>
            <w:vAlign w:val="center"/>
          </w:tcPr>
          <w:p w14:paraId="652E6A71">
            <w:pPr>
              <w:jc w:val="center"/>
              <w:rPr>
                <w:rFonts w:cs="宋体" w:asciiTheme="minorEastAsia" w:hAnsiTheme="minorEastAsia"/>
                <w:szCs w:val="21"/>
              </w:rPr>
            </w:pPr>
            <w:r>
              <w:rPr>
                <w:rFonts w:hint="eastAsia" w:ascii="宋体" w:hAnsi="宋体" w:eastAsia="宋体" w:cs="Times New Roman"/>
                <w:b/>
                <w:bCs/>
                <w:color w:val="000000"/>
                <w:szCs w:val="21"/>
              </w:rPr>
              <w:t>参考学时</w:t>
            </w:r>
          </w:p>
        </w:tc>
      </w:tr>
      <w:tr w14:paraId="327C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420580F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538" w:type="dxa"/>
            <w:vAlign w:val="center"/>
          </w:tcPr>
          <w:p w14:paraId="06D7683D">
            <w:pPr>
              <w:pStyle w:val="2"/>
              <w:snapToGrid w:val="0"/>
              <w:spacing w:line="336" w:lineRule="auto"/>
              <w:ind w:firstLine="0" w:firstLineChars="0"/>
              <w:jc w:val="center"/>
              <w:rPr>
                <w:rFonts w:ascii="仿宋_GB2312" w:hAnsi="微软雅黑" w:cs="宋体"/>
                <w:sz w:val="28"/>
                <w:szCs w:val="28"/>
              </w:rPr>
            </w:pPr>
            <w:r>
              <w:rPr>
                <w:rFonts w:hint="eastAsia" w:ascii="宋体" w:hAnsi="宋体" w:eastAsia="宋体"/>
                <w:szCs w:val="21"/>
              </w:rPr>
              <w:t>中国特色社会主义</w:t>
            </w:r>
          </w:p>
        </w:tc>
        <w:tc>
          <w:tcPr>
            <w:tcW w:w="5550" w:type="dxa"/>
          </w:tcPr>
          <w:p w14:paraId="71F48247">
            <w:pPr>
              <w:pStyle w:val="2"/>
              <w:snapToGrid w:val="0"/>
              <w:spacing w:line="336" w:lineRule="auto"/>
              <w:jc w:val="left"/>
              <w:rPr>
                <w:rFonts w:ascii="宋体" w:hAnsi="宋体" w:eastAsia="宋体"/>
                <w:szCs w:val="21"/>
              </w:rPr>
            </w:pPr>
            <w:r>
              <w:rPr>
                <w:rFonts w:hint="eastAsia" w:ascii="宋体" w:hAnsi="宋体" w:eastAsia="宋体"/>
                <w:szCs w:val="21"/>
              </w:rPr>
              <w:t>依据《中等职业学校思想政治课程标准（2020年版）》开设。通过本课程学习，使学生理解中国特色社会主义理论体系的基本内容和科学方法，帮助学生正确理解这一理论体系基本理论观点，深刻理解党在社会主义初级阶段的基本路线、基本纲领和基本要求，准确把握建设中国特色社会主义的总依据、总任务和总布局，坚定在党的领导下走中国特色社会主义道路的理想信念，为全面建成小康社会、实现中华民族伟大复兴而团结奋斗。</w:t>
            </w:r>
          </w:p>
        </w:tc>
        <w:tc>
          <w:tcPr>
            <w:tcW w:w="752" w:type="dxa"/>
            <w:vAlign w:val="center"/>
          </w:tcPr>
          <w:p w14:paraId="692FDE42">
            <w:pPr>
              <w:pStyle w:val="2"/>
              <w:snapToGrid w:val="0"/>
              <w:spacing w:line="336" w:lineRule="auto"/>
              <w:ind w:firstLine="0" w:firstLineChars="0"/>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6</w:t>
            </w:r>
          </w:p>
        </w:tc>
      </w:tr>
      <w:tr w14:paraId="5122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0F32CF3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538" w:type="dxa"/>
            <w:vAlign w:val="center"/>
          </w:tcPr>
          <w:p w14:paraId="5E0B693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心理健康与职业生涯</w:t>
            </w:r>
          </w:p>
        </w:tc>
        <w:tc>
          <w:tcPr>
            <w:tcW w:w="5550" w:type="dxa"/>
            <w:vAlign w:val="center"/>
          </w:tcPr>
          <w:p w14:paraId="74486F7F">
            <w:pPr>
              <w:pStyle w:val="2"/>
              <w:snapToGrid w:val="0"/>
              <w:spacing w:line="336" w:lineRule="auto"/>
              <w:jc w:val="left"/>
              <w:rPr>
                <w:rFonts w:ascii="宋体" w:hAnsi="宋体" w:eastAsia="宋体"/>
                <w:szCs w:val="21"/>
              </w:rPr>
            </w:pPr>
            <w:r>
              <w:rPr>
                <w:rFonts w:hint="eastAsia" w:ascii="宋体" w:hAnsi="宋体" w:eastAsia="宋体"/>
                <w:szCs w:val="21"/>
              </w:rPr>
              <w:t>依据《中等职业学校思想政治课程标准（2020年版）》开设。通过本课程学习，使学生掌握心理健康的基本知识、方法和意识的教育，提高学生心理素质，帮助学生正确处理成长、学习、生活和求职就业中遇到的心理行为问题，促进其身心和谐健康发展。引导学生树立正确的职业观念和职业理想，学会根据社会需要和自身特点进行职业生涯规划，并以此规范和调整自己的行为，为顺利就业创业创造条件。</w:t>
            </w:r>
          </w:p>
        </w:tc>
        <w:tc>
          <w:tcPr>
            <w:tcW w:w="752" w:type="dxa"/>
            <w:vAlign w:val="center"/>
          </w:tcPr>
          <w:p w14:paraId="07D22034">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14EC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4178FB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538" w:type="dxa"/>
            <w:vAlign w:val="center"/>
          </w:tcPr>
          <w:p w14:paraId="487BFCC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哲学与人生</w:t>
            </w:r>
          </w:p>
        </w:tc>
        <w:tc>
          <w:tcPr>
            <w:tcW w:w="5550" w:type="dxa"/>
            <w:vAlign w:val="center"/>
          </w:tcPr>
          <w:p w14:paraId="41BD488B">
            <w:pPr>
              <w:pStyle w:val="2"/>
              <w:snapToGrid w:val="0"/>
              <w:spacing w:line="336" w:lineRule="auto"/>
              <w:jc w:val="left"/>
              <w:rPr>
                <w:rFonts w:ascii="宋体" w:hAnsi="宋体" w:eastAsia="宋体"/>
                <w:szCs w:val="21"/>
              </w:rPr>
            </w:pPr>
            <w:r>
              <w:rPr>
                <w:rFonts w:hint="eastAsia" w:ascii="宋体" w:hAnsi="宋体" w:eastAsia="宋体"/>
                <w:szCs w:val="21"/>
              </w:rPr>
              <w:t>依据《中等职业学校思想政治课程标准（2020年版）》开设。通过本课程学习，使学生掌握哲学的基本观点和方法，帮助学生学习运用辩证唯物主义和历史唯物主义的观点和方法，正确看待自然、社会的发展，正确认识和处理人生发展中的基本问题，树立和追求崇高理想，逐步形成正确的世界观、人生观和价值观。</w:t>
            </w:r>
          </w:p>
        </w:tc>
        <w:tc>
          <w:tcPr>
            <w:tcW w:w="752" w:type="dxa"/>
            <w:vAlign w:val="center"/>
          </w:tcPr>
          <w:p w14:paraId="57732D3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31FD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92E8EB3">
            <w:pPr>
              <w:pStyle w:val="2"/>
              <w:snapToGrid w:val="0"/>
              <w:spacing w:line="360" w:lineRule="exact"/>
              <w:rPr>
                <w:rFonts w:ascii="宋体" w:hAnsi="宋体" w:eastAsia="宋体"/>
                <w:szCs w:val="21"/>
              </w:rPr>
            </w:pPr>
            <w:r>
              <w:rPr>
                <w:rFonts w:hint="eastAsia" w:ascii="宋体" w:hAnsi="宋体" w:eastAsia="宋体"/>
                <w:szCs w:val="21"/>
              </w:rPr>
              <w:t>4</w:t>
            </w:r>
          </w:p>
        </w:tc>
        <w:tc>
          <w:tcPr>
            <w:tcW w:w="1538" w:type="dxa"/>
            <w:vAlign w:val="center"/>
          </w:tcPr>
          <w:p w14:paraId="0A6FD24A">
            <w:pPr>
              <w:pStyle w:val="2"/>
              <w:snapToGrid w:val="0"/>
              <w:spacing w:line="360" w:lineRule="exact"/>
              <w:ind w:firstLine="0" w:firstLineChars="0"/>
              <w:rPr>
                <w:rFonts w:ascii="宋体" w:hAnsi="宋体" w:eastAsia="宋体"/>
                <w:szCs w:val="21"/>
              </w:rPr>
            </w:pPr>
            <w:r>
              <w:rPr>
                <w:rFonts w:hint="eastAsia" w:ascii="宋体" w:hAnsi="宋体" w:eastAsia="宋体"/>
                <w:szCs w:val="21"/>
              </w:rPr>
              <w:t>职业道德与法治</w:t>
            </w:r>
          </w:p>
        </w:tc>
        <w:tc>
          <w:tcPr>
            <w:tcW w:w="5550" w:type="dxa"/>
            <w:vAlign w:val="center"/>
          </w:tcPr>
          <w:p w14:paraId="50D3C5D2">
            <w:pPr>
              <w:pStyle w:val="2"/>
              <w:snapToGrid w:val="0"/>
              <w:spacing w:line="336" w:lineRule="auto"/>
              <w:jc w:val="left"/>
              <w:rPr>
                <w:rFonts w:ascii="宋体" w:hAnsi="宋体" w:eastAsia="宋体"/>
                <w:szCs w:val="21"/>
              </w:rPr>
            </w:pPr>
            <w:r>
              <w:rPr>
                <w:rFonts w:hint="eastAsia" w:ascii="宋体" w:hAnsi="宋体" w:eastAsia="宋体"/>
                <w:szCs w:val="21"/>
              </w:rPr>
              <w:t>依据《中等职业学校思想政治课程标准（2020年版）》开设。通过本课程学习，使学生掌握文明礼仪的基本要求、职业道德的作用和基本规范，陶冶道德情操，增强职业道德意识，养成职业道德行为习惯。掌握与日常生活和职业活动密切相关的法律知识，树立法治观念，增强法律意识，成为懂法、守法、用法的公民。</w:t>
            </w:r>
          </w:p>
        </w:tc>
        <w:tc>
          <w:tcPr>
            <w:tcW w:w="752" w:type="dxa"/>
            <w:vAlign w:val="center"/>
          </w:tcPr>
          <w:p w14:paraId="1B6FD73A">
            <w:pPr>
              <w:pStyle w:val="2"/>
              <w:snapToGrid w:val="0"/>
              <w:spacing w:line="360" w:lineRule="exact"/>
              <w:jc w:val="center"/>
              <w:rPr>
                <w:rFonts w:ascii="宋体" w:hAnsi="宋体" w:eastAsia="宋体"/>
                <w:szCs w:val="21"/>
              </w:rPr>
            </w:pPr>
            <w:r>
              <w:rPr>
                <w:rFonts w:hint="eastAsia" w:ascii="宋体" w:hAnsi="宋体" w:eastAsia="宋体"/>
                <w:szCs w:val="21"/>
              </w:rPr>
              <w:t>36</w:t>
            </w:r>
          </w:p>
        </w:tc>
      </w:tr>
      <w:tr w14:paraId="14C2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E6A198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5</w:t>
            </w:r>
          </w:p>
        </w:tc>
        <w:tc>
          <w:tcPr>
            <w:tcW w:w="1538" w:type="dxa"/>
            <w:vAlign w:val="center"/>
          </w:tcPr>
          <w:p w14:paraId="00CFFC1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语文</w:t>
            </w:r>
          </w:p>
        </w:tc>
        <w:tc>
          <w:tcPr>
            <w:tcW w:w="5550" w:type="dxa"/>
            <w:vAlign w:val="center"/>
          </w:tcPr>
          <w:p w14:paraId="07DBCE8E">
            <w:pPr>
              <w:pStyle w:val="2"/>
              <w:snapToGrid w:val="0"/>
              <w:spacing w:line="336" w:lineRule="auto"/>
              <w:jc w:val="left"/>
              <w:rPr>
                <w:rFonts w:ascii="宋体" w:hAnsi="宋体" w:eastAsia="宋体"/>
                <w:szCs w:val="21"/>
              </w:rPr>
            </w:pPr>
            <w:r>
              <w:rPr>
                <w:rFonts w:hint="eastAsia" w:ascii="宋体" w:hAnsi="宋体" w:eastAsia="宋体"/>
                <w:szCs w:val="21"/>
              </w:rPr>
              <w:t>语文课程是中等职业学校各专业学生必修的公共基础课程，是学习正确理解和运用祖国语言文字的综合性、实践性课程，应按照教育部颁布的《中等职业学校语文课程标准》的要求开设。通过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p w14:paraId="00369FCC">
            <w:pPr>
              <w:pStyle w:val="2"/>
              <w:snapToGrid w:val="0"/>
              <w:spacing w:line="336" w:lineRule="auto"/>
              <w:jc w:val="left"/>
              <w:rPr>
                <w:rFonts w:ascii="宋体" w:hAnsi="宋体" w:eastAsia="宋体"/>
                <w:szCs w:val="21"/>
              </w:rPr>
            </w:pPr>
            <w:r>
              <w:rPr>
                <w:rFonts w:hint="eastAsia" w:ascii="宋体" w:hAnsi="宋体" w:eastAsia="宋体"/>
                <w:szCs w:val="21"/>
              </w:rPr>
              <w:t>包括基础模块和职业模块，其中基础模块是必修内容，144学时，8学分；职业模块是限定选修内容，54学时，3学分。</w:t>
            </w:r>
          </w:p>
        </w:tc>
        <w:tc>
          <w:tcPr>
            <w:tcW w:w="752" w:type="dxa"/>
            <w:vAlign w:val="center"/>
          </w:tcPr>
          <w:p w14:paraId="53EAEEBF">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198</w:t>
            </w:r>
          </w:p>
        </w:tc>
      </w:tr>
      <w:tr w14:paraId="4398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45938E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6</w:t>
            </w:r>
          </w:p>
        </w:tc>
        <w:tc>
          <w:tcPr>
            <w:tcW w:w="1538" w:type="dxa"/>
            <w:vAlign w:val="center"/>
          </w:tcPr>
          <w:p w14:paraId="6A7A4F4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历史</w:t>
            </w:r>
          </w:p>
        </w:tc>
        <w:tc>
          <w:tcPr>
            <w:tcW w:w="5550" w:type="dxa"/>
            <w:vAlign w:val="center"/>
          </w:tcPr>
          <w:p w14:paraId="32C65190">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p w14:paraId="5D2C5C9A">
            <w:pPr>
              <w:pStyle w:val="2"/>
              <w:snapToGrid w:val="0"/>
              <w:spacing w:line="336" w:lineRule="auto"/>
              <w:jc w:val="left"/>
              <w:rPr>
                <w:rFonts w:ascii="宋体" w:hAnsi="宋体" w:eastAsia="宋体"/>
                <w:szCs w:val="21"/>
              </w:rPr>
            </w:pPr>
            <w:r>
              <w:rPr>
                <w:rFonts w:hint="eastAsia" w:ascii="宋体" w:hAnsi="宋体" w:eastAsia="宋体"/>
                <w:szCs w:val="21"/>
              </w:rPr>
              <w:t>必修内容共72学时，包括“中国历史”45学时和“世界历史”27学时,共4学分</w:t>
            </w:r>
            <w:r>
              <w:rPr>
                <w:rFonts w:ascii="宋体" w:hAnsi="宋体" w:eastAsia="宋体"/>
                <w:szCs w:val="21"/>
              </w:rPr>
              <w:t>。</w:t>
            </w:r>
          </w:p>
        </w:tc>
        <w:tc>
          <w:tcPr>
            <w:tcW w:w="752" w:type="dxa"/>
            <w:vAlign w:val="center"/>
          </w:tcPr>
          <w:p w14:paraId="3896AB0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w:t>
            </w:r>
            <w:r>
              <w:rPr>
                <w:rFonts w:ascii="宋体" w:hAnsi="宋体" w:eastAsia="宋体"/>
                <w:szCs w:val="21"/>
              </w:rPr>
              <w:t>2</w:t>
            </w:r>
          </w:p>
        </w:tc>
      </w:tr>
      <w:tr w14:paraId="63B3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46646D3F">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w:t>
            </w:r>
          </w:p>
        </w:tc>
        <w:tc>
          <w:tcPr>
            <w:tcW w:w="1538" w:type="dxa"/>
            <w:vAlign w:val="center"/>
          </w:tcPr>
          <w:p w14:paraId="4063FC64">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数学</w:t>
            </w:r>
          </w:p>
        </w:tc>
        <w:tc>
          <w:tcPr>
            <w:tcW w:w="5550" w:type="dxa"/>
            <w:vAlign w:val="center"/>
          </w:tcPr>
          <w:p w14:paraId="41AC4A59">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w:t>
            </w:r>
          </w:p>
          <w:p w14:paraId="4A2D869F">
            <w:pPr>
              <w:pStyle w:val="2"/>
              <w:snapToGrid w:val="0"/>
              <w:spacing w:line="336" w:lineRule="auto"/>
              <w:jc w:val="left"/>
              <w:rPr>
                <w:rFonts w:ascii="宋体" w:hAnsi="宋体" w:eastAsia="宋体"/>
                <w:szCs w:val="21"/>
              </w:rPr>
            </w:pPr>
            <w:r>
              <w:rPr>
                <w:rFonts w:hint="eastAsia" w:ascii="宋体" w:hAnsi="宋体" w:eastAsia="宋体"/>
                <w:szCs w:val="21"/>
              </w:rPr>
              <w:t>教学中要注意知识衔接，激发学习兴趣，增强学习主动性和自信心，不断塑造科学精神和工匠精神，培养创新意识，促进学生德智体美劳全面发展。</w:t>
            </w:r>
          </w:p>
          <w:p w14:paraId="0A5ACC4A">
            <w:pPr>
              <w:pStyle w:val="2"/>
              <w:snapToGrid w:val="0"/>
              <w:spacing w:line="336" w:lineRule="auto"/>
              <w:jc w:val="left"/>
              <w:rPr>
                <w:rFonts w:ascii="宋体" w:hAnsi="宋体" w:eastAsia="宋体"/>
                <w:szCs w:val="21"/>
              </w:rPr>
            </w:pPr>
            <w:r>
              <w:rPr>
                <w:rFonts w:hint="eastAsia" w:ascii="宋体" w:hAnsi="宋体" w:eastAsia="宋体"/>
                <w:szCs w:val="21"/>
              </w:rPr>
              <w:t>数学课程总学时不低于144学时，8学分。共分三个模块：基础模块为必修，不低于108学时，6学分。拓展模块一或拓展模块二为限定性选修，不低于36学时，2学分。</w:t>
            </w:r>
          </w:p>
        </w:tc>
        <w:tc>
          <w:tcPr>
            <w:tcW w:w="752" w:type="dxa"/>
            <w:vAlign w:val="center"/>
          </w:tcPr>
          <w:p w14:paraId="42DF6FE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r>
              <w:rPr>
                <w:rFonts w:ascii="宋体" w:hAnsi="宋体" w:eastAsia="宋体"/>
                <w:szCs w:val="21"/>
              </w:rPr>
              <w:t>44</w:t>
            </w:r>
          </w:p>
        </w:tc>
      </w:tr>
      <w:tr w14:paraId="61F0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61DDCF3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8</w:t>
            </w:r>
          </w:p>
        </w:tc>
        <w:tc>
          <w:tcPr>
            <w:tcW w:w="1538" w:type="dxa"/>
            <w:vAlign w:val="center"/>
          </w:tcPr>
          <w:p w14:paraId="0E3007A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英语</w:t>
            </w:r>
          </w:p>
        </w:tc>
        <w:tc>
          <w:tcPr>
            <w:tcW w:w="5550" w:type="dxa"/>
            <w:vAlign w:val="center"/>
          </w:tcPr>
          <w:p w14:paraId="56E0F83D">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英语课程标准》的教学要求开设。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p w14:paraId="62150FEF">
            <w:pPr>
              <w:pStyle w:val="2"/>
              <w:snapToGrid w:val="0"/>
              <w:spacing w:line="336" w:lineRule="auto"/>
              <w:jc w:val="left"/>
              <w:rPr>
                <w:rFonts w:ascii="宋体" w:hAnsi="宋体" w:eastAsia="宋体"/>
                <w:szCs w:val="21"/>
              </w:rPr>
            </w:pPr>
            <w:r>
              <w:rPr>
                <w:rFonts w:hint="eastAsia" w:ascii="宋体" w:hAnsi="宋体" w:eastAsia="宋体"/>
                <w:szCs w:val="21"/>
              </w:rPr>
              <w:t>本课程总学时应不低于 144 学时。其中，基础模块共 108 学时，6 学分； 职业模块共 36 学时，2 学分。</w:t>
            </w:r>
          </w:p>
        </w:tc>
        <w:tc>
          <w:tcPr>
            <w:tcW w:w="752" w:type="dxa"/>
            <w:vAlign w:val="center"/>
          </w:tcPr>
          <w:p w14:paraId="796B9A7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r>
              <w:rPr>
                <w:rFonts w:ascii="宋体" w:hAnsi="宋体" w:eastAsia="宋体"/>
                <w:szCs w:val="21"/>
              </w:rPr>
              <w:t>44</w:t>
            </w:r>
          </w:p>
        </w:tc>
      </w:tr>
      <w:tr w14:paraId="1E7B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2FA2E61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9</w:t>
            </w:r>
          </w:p>
        </w:tc>
        <w:tc>
          <w:tcPr>
            <w:tcW w:w="1538" w:type="dxa"/>
            <w:vAlign w:val="center"/>
          </w:tcPr>
          <w:p w14:paraId="1DCEB3EF">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信息技术</w:t>
            </w:r>
          </w:p>
        </w:tc>
        <w:tc>
          <w:tcPr>
            <w:tcW w:w="5550" w:type="dxa"/>
            <w:vAlign w:val="center"/>
          </w:tcPr>
          <w:p w14:paraId="0B53CFB7">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信息技术课程标准》的教学要求开设。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p w14:paraId="1DB5FC7B">
            <w:pPr>
              <w:pStyle w:val="2"/>
              <w:snapToGrid w:val="0"/>
              <w:spacing w:line="336" w:lineRule="auto"/>
              <w:jc w:val="left"/>
              <w:rPr>
                <w:rFonts w:ascii="宋体" w:hAnsi="宋体" w:eastAsia="宋体"/>
                <w:szCs w:val="21"/>
              </w:rPr>
            </w:pPr>
            <w:r>
              <w:rPr>
                <w:rFonts w:hint="eastAsia" w:ascii="宋体" w:hAnsi="宋体" w:eastAsia="宋体"/>
                <w:szCs w:val="21"/>
              </w:rPr>
              <w:t>包括基础模块和拓展模块，基础模块是必修内容，108学时，6学分。</w:t>
            </w:r>
          </w:p>
        </w:tc>
        <w:tc>
          <w:tcPr>
            <w:tcW w:w="752" w:type="dxa"/>
            <w:vAlign w:val="center"/>
          </w:tcPr>
          <w:p w14:paraId="729655D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108</w:t>
            </w:r>
          </w:p>
        </w:tc>
      </w:tr>
      <w:tr w14:paraId="5E47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F8718D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10</w:t>
            </w:r>
          </w:p>
        </w:tc>
        <w:tc>
          <w:tcPr>
            <w:tcW w:w="1538" w:type="dxa"/>
            <w:vAlign w:val="center"/>
          </w:tcPr>
          <w:p w14:paraId="03FF1BC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体育与健康</w:t>
            </w:r>
          </w:p>
        </w:tc>
        <w:tc>
          <w:tcPr>
            <w:tcW w:w="5550" w:type="dxa"/>
            <w:vAlign w:val="center"/>
          </w:tcPr>
          <w:p w14:paraId="12CE9DFD">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体育与健康课程标准》的教学要求开设，是中等职业学校各专业学生必修的公共基础课程。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p w14:paraId="268F6A9B">
            <w:pPr>
              <w:pStyle w:val="2"/>
              <w:snapToGrid w:val="0"/>
              <w:spacing w:line="336" w:lineRule="auto"/>
              <w:jc w:val="left"/>
              <w:rPr>
                <w:rFonts w:ascii="宋体" w:hAnsi="宋体" w:eastAsia="宋体"/>
                <w:szCs w:val="21"/>
              </w:rPr>
            </w:pPr>
            <w:r>
              <w:rPr>
                <w:rFonts w:hint="eastAsia" w:ascii="宋体" w:hAnsi="宋体" w:eastAsia="宋体"/>
                <w:szCs w:val="21"/>
              </w:rPr>
              <w:t>包括基础模块和拓展模块。总学时不低于144学时，8学分。基础模块包括体能（3</w:t>
            </w:r>
            <w:r>
              <w:rPr>
                <w:rFonts w:ascii="宋体" w:hAnsi="宋体" w:eastAsia="宋体"/>
                <w:szCs w:val="21"/>
              </w:rPr>
              <w:t>6</w:t>
            </w:r>
            <w:r>
              <w:rPr>
                <w:rFonts w:hint="eastAsia" w:ascii="宋体" w:hAnsi="宋体" w:eastAsia="宋体"/>
                <w:szCs w:val="21"/>
              </w:rPr>
              <w:t>学时）和健康教育（1</w:t>
            </w:r>
            <w:r>
              <w:rPr>
                <w:rFonts w:ascii="宋体" w:hAnsi="宋体" w:eastAsia="宋体"/>
                <w:szCs w:val="21"/>
              </w:rPr>
              <w:t>8</w:t>
            </w:r>
            <w:r>
              <w:rPr>
                <w:rFonts w:hint="eastAsia" w:ascii="宋体" w:hAnsi="宋体" w:eastAsia="宋体"/>
                <w:szCs w:val="21"/>
              </w:rPr>
              <w:t>学时），为必修基础内容，3学分。</w:t>
            </w:r>
          </w:p>
          <w:p w14:paraId="6DD32BC8">
            <w:pPr>
              <w:pStyle w:val="2"/>
              <w:snapToGrid w:val="0"/>
              <w:spacing w:line="336" w:lineRule="auto"/>
              <w:jc w:val="left"/>
              <w:rPr>
                <w:rFonts w:ascii="宋体" w:hAnsi="宋体" w:eastAsia="宋体"/>
                <w:szCs w:val="21"/>
              </w:rPr>
            </w:pPr>
            <w:r>
              <w:rPr>
                <w:rFonts w:hint="eastAsia" w:ascii="宋体" w:hAnsi="宋体" w:eastAsia="宋体"/>
                <w:szCs w:val="21"/>
              </w:rPr>
              <w:t>拓展模块满足学生继续学习与个性发展等方面需要的选修内容，拓展模块一为限定性选修，9</w:t>
            </w:r>
            <w:r>
              <w:rPr>
                <w:rFonts w:ascii="宋体" w:hAnsi="宋体" w:eastAsia="宋体"/>
                <w:szCs w:val="21"/>
              </w:rPr>
              <w:t>0</w:t>
            </w:r>
            <w:r>
              <w:rPr>
                <w:rFonts w:hint="eastAsia" w:ascii="宋体" w:hAnsi="宋体" w:eastAsia="宋体"/>
                <w:szCs w:val="21"/>
              </w:rPr>
              <w:t>学时，5学分；拓展模块二为任意选修内容，可自主选择进行4个学分的学习。</w:t>
            </w:r>
          </w:p>
        </w:tc>
        <w:tc>
          <w:tcPr>
            <w:tcW w:w="752" w:type="dxa"/>
            <w:vAlign w:val="center"/>
          </w:tcPr>
          <w:p w14:paraId="501EB4F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r>
              <w:rPr>
                <w:rFonts w:ascii="宋体" w:hAnsi="宋体" w:eastAsia="宋体"/>
                <w:szCs w:val="21"/>
              </w:rPr>
              <w:t>44</w:t>
            </w:r>
          </w:p>
        </w:tc>
      </w:tr>
      <w:tr w14:paraId="307F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F9D10A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11</w:t>
            </w:r>
          </w:p>
        </w:tc>
        <w:tc>
          <w:tcPr>
            <w:tcW w:w="1538" w:type="dxa"/>
            <w:vAlign w:val="center"/>
          </w:tcPr>
          <w:p w14:paraId="6726751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艺术（音乐美术）</w:t>
            </w:r>
          </w:p>
        </w:tc>
        <w:tc>
          <w:tcPr>
            <w:tcW w:w="5550" w:type="dxa"/>
            <w:vAlign w:val="center"/>
          </w:tcPr>
          <w:p w14:paraId="6DB95B9C">
            <w:pPr>
              <w:pStyle w:val="2"/>
              <w:snapToGrid w:val="0"/>
              <w:spacing w:line="336" w:lineRule="auto"/>
              <w:jc w:val="left"/>
              <w:rPr>
                <w:rFonts w:ascii="宋体" w:hAnsi="宋体" w:eastAsia="宋体"/>
                <w:szCs w:val="21"/>
              </w:rPr>
            </w:pPr>
            <w:r>
              <w:rPr>
                <w:rFonts w:hint="eastAsia" w:ascii="宋体" w:hAnsi="宋体" w:eastAsia="宋体"/>
                <w:szCs w:val="21"/>
              </w:rPr>
              <w:t>按照教育部颁布的《中等职业学校艺术课程标准》的教学要求开设。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p w14:paraId="0F588551">
            <w:pPr>
              <w:pStyle w:val="2"/>
              <w:snapToGrid w:val="0"/>
              <w:spacing w:line="336" w:lineRule="auto"/>
              <w:jc w:val="left"/>
              <w:rPr>
                <w:rFonts w:ascii="宋体" w:hAnsi="宋体" w:eastAsia="宋体"/>
                <w:szCs w:val="21"/>
              </w:rPr>
            </w:pPr>
            <w:r>
              <w:rPr>
                <w:rFonts w:hint="eastAsia" w:ascii="宋体" w:hAnsi="宋体" w:eastAsia="宋体"/>
                <w:szCs w:val="21"/>
              </w:rPr>
              <w:t>包括基础模块和拓展模块。其础模块是必修内容，基础模块内容为音乐鉴赏与实践18学时/1学分和美术鉴赏与实践18学时/1学分；拓展模块是任意选修内容，36学时/2学分。</w:t>
            </w:r>
          </w:p>
        </w:tc>
        <w:tc>
          <w:tcPr>
            <w:tcW w:w="752" w:type="dxa"/>
            <w:vAlign w:val="center"/>
          </w:tcPr>
          <w:p w14:paraId="32CF95E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72</w:t>
            </w:r>
          </w:p>
        </w:tc>
      </w:tr>
      <w:tr w14:paraId="630E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65CE4824">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12</w:t>
            </w:r>
          </w:p>
        </w:tc>
        <w:tc>
          <w:tcPr>
            <w:tcW w:w="1538" w:type="dxa"/>
            <w:vAlign w:val="center"/>
          </w:tcPr>
          <w:p w14:paraId="3D2455D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劳动教育</w:t>
            </w:r>
          </w:p>
        </w:tc>
        <w:tc>
          <w:tcPr>
            <w:tcW w:w="5550" w:type="dxa"/>
          </w:tcPr>
          <w:p w14:paraId="529C3BF9">
            <w:pPr>
              <w:pStyle w:val="2"/>
              <w:snapToGrid w:val="0"/>
              <w:spacing w:line="336" w:lineRule="auto"/>
              <w:jc w:val="left"/>
              <w:rPr>
                <w:rFonts w:ascii="宋体" w:hAnsi="宋体" w:eastAsia="宋体"/>
                <w:szCs w:val="21"/>
              </w:rPr>
            </w:pPr>
            <w:r>
              <w:rPr>
                <w:rFonts w:hint="eastAsia" w:ascii="宋体" w:hAnsi="宋体" w:eastAsia="宋体"/>
                <w:szCs w:val="21"/>
              </w:rPr>
              <w:t>根据教育部印发的《大中小学劳动教育指导纲要（试行）》（教材〔2020〕</w:t>
            </w:r>
            <w:r>
              <w:rPr>
                <w:rFonts w:ascii="宋体" w:hAnsi="宋体" w:eastAsia="宋体"/>
                <w:szCs w:val="21"/>
              </w:rPr>
              <w:t>4</w:t>
            </w:r>
            <w:r>
              <w:rPr>
                <w:rFonts w:hint="eastAsia" w:ascii="宋体" w:hAnsi="宋体" w:eastAsia="宋体"/>
                <w:szCs w:val="21"/>
              </w:rPr>
              <w:t>号）开设，以日常生活劳动、生产劳动和服务性劳动为主要内容。日常生活劳动教育结合新时代校园爱国卫生运动，强化个人生活能力和习惯养成；生产劳动教育使学生亲历工农业生产等劳动过程，学会使用工具，掌握相关技术，感受劳动创造价值；服务性劳动教育强化为他人和社会提供服务，提高社会责任感。同时开展不少于16学时的劳动精神、劳模精神、职业荣誉感和工匠精神主题教育，培养学生正确的劳动价值观和良好的劳动品质。</w:t>
            </w:r>
          </w:p>
        </w:tc>
        <w:tc>
          <w:tcPr>
            <w:tcW w:w="752" w:type="dxa"/>
            <w:vAlign w:val="center"/>
          </w:tcPr>
          <w:p w14:paraId="44DA986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18</w:t>
            </w:r>
          </w:p>
        </w:tc>
      </w:tr>
    </w:tbl>
    <w:p w14:paraId="2D8FB0E6">
      <w:pPr>
        <w:pStyle w:val="2"/>
        <w:snapToGrid w:val="0"/>
        <w:spacing w:line="336" w:lineRule="auto"/>
        <w:ind w:firstLine="0" w:firstLineChars="0"/>
        <w:jc w:val="center"/>
        <w:rPr>
          <w:rFonts w:ascii="仿宋_GB2312" w:hAnsi="宋体" w:cs="仿宋"/>
          <w:sz w:val="24"/>
          <w:szCs w:val="24"/>
        </w:rPr>
      </w:pPr>
    </w:p>
    <w:p w14:paraId="5F294FEE">
      <w:pPr>
        <w:pStyle w:val="2"/>
        <w:snapToGrid w:val="0"/>
        <w:spacing w:line="336" w:lineRule="auto"/>
        <w:ind w:firstLine="0" w:firstLineChars="0"/>
        <w:jc w:val="center"/>
        <w:rPr>
          <w:rFonts w:ascii="仿宋_GB2312" w:hAnsi="宋体" w:cs="仿宋"/>
          <w:sz w:val="24"/>
          <w:szCs w:val="24"/>
        </w:rPr>
      </w:pPr>
    </w:p>
    <w:p w14:paraId="24CF02E9">
      <w:pPr>
        <w:pStyle w:val="2"/>
        <w:snapToGrid w:val="0"/>
        <w:spacing w:line="336" w:lineRule="auto"/>
        <w:ind w:firstLine="0" w:firstLineChars="0"/>
        <w:jc w:val="center"/>
        <w:rPr>
          <w:rFonts w:ascii="仿宋_GB2312" w:hAnsi="宋体" w:cs="仿宋"/>
          <w:sz w:val="24"/>
          <w:szCs w:val="24"/>
        </w:rPr>
      </w:pPr>
    </w:p>
    <w:p w14:paraId="78F1CE8C">
      <w:pPr>
        <w:pStyle w:val="2"/>
        <w:snapToGrid w:val="0"/>
        <w:spacing w:line="336" w:lineRule="auto"/>
        <w:ind w:firstLine="0" w:firstLineChars="0"/>
        <w:jc w:val="center"/>
        <w:rPr>
          <w:rFonts w:ascii="仿宋_GB2312" w:hAnsi="宋体" w:cs="仿宋"/>
          <w:sz w:val="24"/>
          <w:szCs w:val="24"/>
        </w:rPr>
      </w:pPr>
    </w:p>
    <w:p w14:paraId="29DF4A21">
      <w:pPr>
        <w:pStyle w:val="2"/>
        <w:snapToGrid w:val="0"/>
        <w:spacing w:line="336" w:lineRule="auto"/>
        <w:ind w:firstLine="0" w:firstLineChars="0"/>
        <w:jc w:val="center"/>
        <w:rPr>
          <w:rFonts w:ascii="仿宋_GB2312" w:hAnsi="微软雅黑" w:cs="宋体"/>
          <w:sz w:val="24"/>
          <w:szCs w:val="24"/>
        </w:rPr>
      </w:pPr>
      <w:r>
        <w:rPr>
          <w:rFonts w:hint="eastAsia" w:ascii="仿宋_GB2312" w:hAnsi="宋体" w:cs="仿宋"/>
          <w:sz w:val="24"/>
          <w:szCs w:val="24"/>
        </w:rPr>
        <w:t>公共基础选修课程教学要求</w:t>
      </w:r>
    </w:p>
    <w:tbl>
      <w:tblPr>
        <w:tblStyle w:val="42"/>
        <w:tblW w:w="85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550"/>
        <w:gridCol w:w="5550"/>
        <w:gridCol w:w="752"/>
      </w:tblGrid>
      <w:tr w14:paraId="42993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exact"/>
          <w:tblHeader/>
          <w:jc w:val="center"/>
        </w:trPr>
        <w:tc>
          <w:tcPr>
            <w:tcW w:w="674" w:type="dxa"/>
            <w:shd w:val="clear" w:color="auto" w:fill="D7D7D7" w:themeFill="background1" w:themeFillShade="D8"/>
            <w:vAlign w:val="center"/>
          </w:tcPr>
          <w:p w14:paraId="273A994F">
            <w:pPr>
              <w:pStyle w:val="2"/>
              <w:snapToGrid w:val="0"/>
              <w:spacing w:line="336" w:lineRule="auto"/>
              <w:ind w:firstLine="0" w:firstLineChars="0"/>
              <w:jc w:val="center"/>
              <w:rPr>
                <w:rFonts w:ascii="宋体" w:hAnsi="宋体" w:eastAsia="宋体"/>
                <w:b/>
                <w:bCs/>
                <w:kern w:val="0"/>
                <w:szCs w:val="21"/>
              </w:rPr>
            </w:pPr>
            <w:r>
              <w:rPr>
                <w:rFonts w:hint="eastAsia" w:ascii="宋体" w:hAnsi="宋体" w:eastAsia="宋体"/>
                <w:b/>
                <w:bCs/>
                <w:kern w:val="0"/>
                <w:szCs w:val="21"/>
              </w:rPr>
              <w:t>序号</w:t>
            </w:r>
          </w:p>
        </w:tc>
        <w:tc>
          <w:tcPr>
            <w:tcW w:w="1550" w:type="dxa"/>
            <w:shd w:val="clear" w:color="auto" w:fill="D7D7D7" w:themeFill="background1" w:themeFillShade="D8"/>
            <w:vAlign w:val="center"/>
          </w:tcPr>
          <w:p w14:paraId="05F0D3B3">
            <w:pPr>
              <w:pStyle w:val="2"/>
              <w:snapToGrid w:val="0"/>
              <w:spacing w:line="336" w:lineRule="auto"/>
              <w:ind w:firstLine="0" w:firstLineChars="0"/>
              <w:jc w:val="center"/>
              <w:rPr>
                <w:rFonts w:ascii="宋体" w:hAnsi="宋体" w:eastAsia="宋体"/>
                <w:b/>
                <w:bCs/>
                <w:kern w:val="0"/>
                <w:szCs w:val="21"/>
              </w:rPr>
            </w:pPr>
            <w:r>
              <w:rPr>
                <w:rFonts w:hint="eastAsia" w:ascii="宋体" w:hAnsi="宋体" w:eastAsia="宋体"/>
                <w:b/>
                <w:bCs/>
                <w:kern w:val="0"/>
                <w:szCs w:val="21"/>
              </w:rPr>
              <w:t>课程名称</w:t>
            </w:r>
          </w:p>
        </w:tc>
        <w:tc>
          <w:tcPr>
            <w:tcW w:w="5550" w:type="dxa"/>
            <w:shd w:val="clear" w:color="auto" w:fill="D7D7D7" w:themeFill="background1" w:themeFillShade="D8"/>
            <w:vAlign w:val="center"/>
          </w:tcPr>
          <w:p w14:paraId="2857E060">
            <w:pPr>
              <w:pStyle w:val="2"/>
              <w:snapToGrid w:val="0"/>
              <w:spacing w:line="336" w:lineRule="auto"/>
              <w:ind w:firstLine="422"/>
              <w:jc w:val="center"/>
              <w:rPr>
                <w:rFonts w:ascii="宋体" w:hAnsi="宋体" w:eastAsia="宋体"/>
                <w:b/>
                <w:bCs/>
                <w:kern w:val="0"/>
                <w:szCs w:val="21"/>
              </w:rPr>
            </w:pPr>
            <w:r>
              <w:rPr>
                <w:rFonts w:hint="eastAsia" w:ascii="宋体" w:hAnsi="宋体" w:eastAsia="宋体"/>
                <w:b/>
                <w:bCs/>
                <w:kern w:val="0"/>
                <w:szCs w:val="21"/>
              </w:rPr>
              <w:t>教学内容与要求</w:t>
            </w:r>
          </w:p>
        </w:tc>
        <w:tc>
          <w:tcPr>
            <w:tcW w:w="752" w:type="dxa"/>
            <w:shd w:val="clear" w:color="auto" w:fill="D7D7D7" w:themeFill="background1" w:themeFillShade="D8"/>
            <w:vAlign w:val="center"/>
          </w:tcPr>
          <w:p w14:paraId="657B438A">
            <w:pPr>
              <w:pStyle w:val="2"/>
              <w:snapToGrid w:val="0"/>
              <w:spacing w:line="336" w:lineRule="auto"/>
              <w:ind w:firstLine="0" w:firstLineChars="0"/>
              <w:jc w:val="center"/>
              <w:rPr>
                <w:rFonts w:ascii="宋体" w:hAnsi="宋体" w:eastAsia="宋体"/>
                <w:b/>
                <w:bCs/>
                <w:kern w:val="0"/>
                <w:szCs w:val="21"/>
              </w:rPr>
            </w:pPr>
            <w:r>
              <w:rPr>
                <w:rFonts w:hint="eastAsia" w:ascii="宋体" w:hAnsi="宋体" w:eastAsia="宋体"/>
                <w:b/>
                <w:bCs/>
                <w:kern w:val="0"/>
                <w:szCs w:val="21"/>
              </w:rPr>
              <w:t>参考学时</w:t>
            </w:r>
          </w:p>
        </w:tc>
      </w:tr>
      <w:tr w14:paraId="12A6B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7" w:hRule="exact"/>
          <w:jc w:val="center"/>
        </w:trPr>
        <w:tc>
          <w:tcPr>
            <w:tcW w:w="674" w:type="dxa"/>
            <w:tcBorders>
              <w:bottom w:val="single" w:color="auto" w:sz="4" w:space="0"/>
            </w:tcBorders>
            <w:vAlign w:val="center"/>
          </w:tcPr>
          <w:p w14:paraId="75EC215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550" w:type="dxa"/>
            <w:tcBorders>
              <w:bottom w:val="single" w:color="auto" w:sz="4" w:space="0"/>
            </w:tcBorders>
            <w:vAlign w:val="center"/>
          </w:tcPr>
          <w:p w14:paraId="6AD7049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习近平新时代中国特色社会主义思想概论</w:t>
            </w:r>
          </w:p>
        </w:tc>
        <w:tc>
          <w:tcPr>
            <w:tcW w:w="5550" w:type="dxa"/>
            <w:tcBorders>
              <w:bottom w:val="single" w:color="auto" w:sz="4" w:space="0"/>
            </w:tcBorders>
            <w:vAlign w:val="center"/>
          </w:tcPr>
          <w:p w14:paraId="4B251D7A">
            <w:pPr>
              <w:pStyle w:val="2"/>
              <w:snapToGrid w:val="0"/>
              <w:spacing w:line="336" w:lineRule="auto"/>
              <w:jc w:val="left"/>
              <w:rPr>
                <w:rFonts w:ascii="宋体" w:hAnsi="宋体" w:eastAsia="宋体"/>
                <w:szCs w:val="21"/>
              </w:rPr>
            </w:pPr>
            <w:r>
              <w:rPr>
                <w:rFonts w:hint="eastAsia" w:ascii="宋体" w:hAnsi="宋体" w:eastAsia="宋体"/>
                <w:szCs w:val="21"/>
              </w:rPr>
              <w:t>主要学习新时代中国特色社会主义思想形成的过程、精神实质和丰富内涵。通过学习，学生能够从实际出发找准自身定位，明确自己的历史使命，练就过硬本领，形成正确的世界观、人生观、价值观，为中国特色社会主义新时代的发展贡献自己的力量。</w:t>
            </w:r>
          </w:p>
        </w:tc>
        <w:tc>
          <w:tcPr>
            <w:tcW w:w="752" w:type="dxa"/>
            <w:tcBorders>
              <w:bottom w:val="single" w:color="auto" w:sz="4" w:space="0"/>
            </w:tcBorders>
            <w:vAlign w:val="center"/>
          </w:tcPr>
          <w:p w14:paraId="2D7F865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48BC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4" w:hRule="exact"/>
          <w:jc w:val="center"/>
        </w:trPr>
        <w:tc>
          <w:tcPr>
            <w:tcW w:w="674" w:type="dxa"/>
            <w:tcBorders>
              <w:bottom w:val="single" w:color="auto" w:sz="4" w:space="0"/>
            </w:tcBorders>
            <w:vAlign w:val="center"/>
          </w:tcPr>
          <w:p w14:paraId="7BCCCC8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550" w:type="dxa"/>
            <w:tcBorders>
              <w:bottom w:val="single" w:color="auto" w:sz="4" w:space="0"/>
            </w:tcBorders>
            <w:vAlign w:val="center"/>
          </w:tcPr>
          <w:p w14:paraId="74035A4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四史教育</w:t>
            </w:r>
          </w:p>
        </w:tc>
        <w:tc>
          <w:tcPr>
            <w:tcW w:w="5550" w:type="dxa"/>
            <w:tcBorders>
              <w:bottom w:val="single" w:color="auto" w:sz="4" w:space="0"/>
            </w:tcBorders>
            <w:vAlign w:val="center"/>
          </w:tcPr>
          <w:p w14:paraId="0A73AA07">
            <w:pPr>
              <w:pStyle w:val="2"/>
              <w:snapToGrid w:val="0"/>
              <w:spacing w:line="336" w:lineRule="auto"/>
              <w:jc w:val="left"/>
              <w:rPr>
                <w:rFonts w:ascii="宋体" w:hAnsi="宋体" w:eastAsia="宋体"/>
                <w:szCs w:val="21"/>
              </w:rPr>
            </w:pPr>
            <w:r>
              <w:rPr>
                <w:rFonts w:hint="eastAsia" w:ascii="宋体" w:hAnsi="宋体" w:eastAsia="宋体"/>
                <w:szCs w:val="21"/>
              </w:rPr>
              <w:t>主要学习党史、新中国史、改革开放史、社会主义发展史，</w:t>
            </w:r>
            <w:r>
              <w:rPr>
                <w:rFonts w:ascii="宋体" w:hAnsi="宋体" w:eastAsia="宋体"/>
                <w:szCs w:val="21"/>
              </w:rPr>
              <w:t>以史鉴今、资政育人，</w:t>
            </w:r>
            <w:r>
              <w:rPr>
                <w:rFonts w:hint="eastAsia" w:ascii="宋体" w:hAnsi="宋体" w:eastAsia="宋体"/>
                <w:szCs w:val="21"/>
              </w:rPr>
              <w:t>培养学生</w:t>
            </w:r>
            <w:r>
              <w:rPr>
                <w:rFonts w:ascii="宋体" w:hAnsi="宋体" w:eastAsia="宋体"/>
                <w:szCs w:val="21"/>
              </w:rPr>
              <w:t>从党的历史中汲取智慧和力量</w:t>
            </w:r>
            <w:r>
              <w:rPr>
                <w:rFonts w:hint="eastAsia" w:ascii="宋体" w:hAnsi="宋体" w:eastAsia="宋体"/>
                <w:szCs w:val="21"/>
              </w:rPr>
              <w:t>，切实增强学生在生活实践中坚守初心、担当使命的思想自觉和行动自觉。</w:t>
            </w:r>
          </w:p>
        </w:tc>
        <w:tc>
          <w:tcPr>
            <w:tcW w:w="752" w:type="dxa"/>
            <w:tcBorders>
              <w:bottom w:val="single" w:color="auto" w:sz="4" w:space="0"/>
            </w:tcBorders>
            <w:vAlign w:val="center"/>
          </w:tcPr>
          <w:p w14:paraId="117F6BE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4CFB3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4" w:hRule="exact"/>
          <w:jc w:val="center"/>
        </w:trPr>
        <w:tc>
          <w:tcPr>
            <w:tcW w:w="674" w:type="dxa"/>
            <w:tcBorders>
              <w:bottom w:val="single" w:color="auto" w:sz="4" w:space="0"/>
            </w:tcBorders>
            <w:vAlign w:val="center"/>
          </w:tcPr>
          <w:p w14:paraId="6A84AC1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550" w:type="dxa"/>
            <w:tcBorders>
              <w:bottom w:val="single" w:color="auto" w:sz="4" w:space="0"/>
            </w:tcBorders>
            <w:vAlign w:val="center"/>
          </w:tcPr>
          <w:p w14:paraId="5ADF1F1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中华优秀传统文化</w:t>
            </w:r>
          </w:p>
        </w:tc>
        <w:tc>
          <w:tcPr>
            <w:tcW w:w="5550" w:type="dxa"/>
            <w:tcBorders>
              <w:bottom w:val="single" w:color="auto" w:sz="4" w:space="0"/>
            </w:tcBorders>
            <w:vAlign w:val="center"/>
          </w:tcPr>
          <w:p w14:paraId="0639E9C9">
            <w:pPr>
              <w:pStyle w:val="2"/>
              <w:snapToGrid w:val="0"/>
              <w:spacing w:line="336" w:lineRule="auto"/>
              <w:jc w:val="left"/>
              <w:rPr>
                <w:rFonts w:ascii="宋体" w:hAnsi="宋体" w:eastAsia="宋体"/>
                <w:szCs w:val="21"/>
              </w:rPr>
            </w:pPr>
            <w:r>
              <w:rPr>
                <w:rFonts w:hint="eastAsia" w:ascii="宋体" w:hAnsi="宋体" w:eastAsia="宋体"/>
                <w:szCs w:val="21"/>
              </w:rPr>
              <w:t>主要学习中国传统文化、传承中华民族精神，弘扬优秀文化传统，提高学校教育文化品位和学生人文素质。增强学生的文化涵养，丰富校园文化，发挥文化传承作用，全面提高学生的人文素质，引导学生形成高尚的道德情操和正确的价值取向。</w:t>
            </w:r>
          </w:p>
        </w:tc>
        <w:tc>
          <w:tcPr>
            <w:tcW w:w="752" w:type="dxa"/>
            <w:tcBorders>
              <w:bottom w:val="single" w:color="auto" w:sz="4" w:space="0"/>
            </w:tcBorders>
            <w:vAlign w:val="center"/>
          </w:tcPr>
          <w:p w14:paraId="7318D8D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2403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4" w:hRule="exact"/>
          <w:jc w:val="center"/>
        </w:trPr>
        <w:tc>
          <w:tcPr>
            <w:tcW w:w="674" w:type="dxa"/>
            <w:tcBorders>
              <w:bottom w:val="single" w:color="auto" w:sz="4" w:space="0"/>
            </w:tcBorders>
            <w:vAlign w:val="center"/>
          </w:tcPr>
          <w:p w14:paraId="3D41650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4</w:t>
            </w:r>
          </w:p>
        </w:tc>
        <w:tc>
          <w:tcPr>
            <w:tcW w:w="1550" w:type="dxa"/>
            <w:tcBorders>
              <w:bottom w:val="single" w:color="auto" w:sz="4" w:space="0"/>
            </w:tcBorders>
            <w:vAlign w:val="center"/>
          </w:tcPr>
          <w:p w14:paraId="107EEC14">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职业素养</w:t>
            </w:r>
          </w:p>
        </w:tc>
        <w:tc>
          <w:tcPr>
            <w:tcW w:w="5550" w:type="dxa"/>
            <w:tcBorders>
              <w:bottom w:val="single" w:color="auto" w:sz="4" w:space="0"/>
            </w:tcBorders>
            <w:vAlign w:val="center"/>
          </w:tcPr>
          <w:p w14:paraId="148B33F0">
            <w:pPr>
              <w:pStyle w:val="2"/>
              <w:snapToGrid w:val="0"/>
              <w:spacing w:line="336" w:lineRule="auto"/>
              <w:jc w:val="left"/>
              <w:rPr>
                <w:rFonts w:ascii="宋体" w:hAnsi="宋体" w:eastAsia="宋体"/>
                <w:szCs w:val="21"/>
              </w:rPr>
            </w:pPr>
            <w:r>
              <w:rPr>
                <w:rFonts w:hint="eastAsia" w:ascii="宋体" w:hAnsi="宋体" w:eastAsia="宋体"/>
                <w:szCs w:val="21"/>
              </w:rPr>
              <w:t>主要学习个人基本素质、基本职业技能及职业精神三大内容，通过学习，学生能够提高心理健康素质，提升思维能力、解决问题能力、服务能力、创新创业能力等，具备认真负责、恪尽职守的敬业精神及无私无畏、敢于冒险的奉献精神。</w:t>
            </w:r>
          </w:p>
        </w:tc>
        <w:tc>
          <w:tcPr>
            <w:tcW w:w="752" w:type="dxa"/>
            <w:tcBorders>
              <w:bottom w:val="single" w:color="auto" w:sz="4" w:space="0"/>
            </w:tcBorders>
            <w:vAlign w:val="center"/>
          </w:tcPr>
          <w:p w14:paraId="0F0918E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39202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1" w:hRule="exact"/>
          <w:jc w:val="center"/>
        </w:trPr>
        <w:tc>
          <w:tcPr>
            <w:tcW w:w="674" w:type="dxa"/>
            <w:tcBorders>
              <w:top w:val="single" w:color="auto" w:sz="4" w:space="0"/>
              <w:bottom w:val="single" w:color="auto" w:sz="4" w:space="0"/>
            </w:tcBorders>
            <w:vAlign w:val="center"/>
          </w:tcPr>
          <w:p w14:paraId="64ABB0A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5</w:t>
            </w:r>
          </w:p>
        </w:tc>
        <w:tc>
          <w:tcPr>
            <w:tcW w:w="1550" w:type="dxa"/>
            <w:tcBorders>
              <w:top w:val="single" w:color="auto" w:sz="4" w:space="0"/>
              <w:bottom w:val="single" w:color="auto" w:sz="4" w:space="0"/>
            </w:tcBorders>
            <w:vAlign w:val="center"/>
          </w:tcPr>
          <w:p w14:paraId="7256DE4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创新创业教育</w:t>
            </w:r>
          </w:p>
        </w:tc>
        <w:tc>
          <w:tcPr>
            <w:tcW w:w="5550" w:type="dxa"/>
            <w:tcBorders>
              <w:top w:val="single" w:color="auto" w:sz="4" w:space="0"/>
              <w:bottom w:val="single" w:color="auto" w:sz="4" w:space="0"/>
            </w:tcBorders>
            <w:vAlign w:val="center"/>
          </w:tcPr>
          <w:p w14:paraId="4959CC4B">
            <w:pPr>
              <w:pStyle w:val="2"/>
              <w:snapToGrid w:val="0"/>
              <w:spacing w:line="336" w:lineRule="auto"/>
              <w:jc w:val="left"/>
              <w:rPr>
                <w:rFonts w:ascii="宋体" w:hAnsi="宋体" w:eastAsia="宋体"/>
                <w:szCs w:val="21"/>
              </w:rPr>
            </w:pPr>
            <w:r>
              <w:rPr>
                <w:rFonts w:hint="eastAsia" w:ascii="宋体" w:hAnsi="宋体" w:eastAsia="宋体"/>
                <w:szCs w:val="21"/>
              </w:rPr>
              <w:t>主要学习开展创新、创业活动所需要的基础知识和基本理论，创业的基本流程和基本方法。通过学习，激发学生的创新与创业意识和企业家精神，培养学生创新创业的能力，转变传统的就业观念和行为选择，锻炼其创业心智的综合素质。</w:t>
            </w:r>
          </w:p>
        </w:tc>
        <w:tc>
          <w:tcPr>
            <w:tcW w:w="752" w:type="dxa"/>
            <w:tcBorders>
              <w:top w:val="single" w:color="auto" w:sz="4" w:space="0"/>
              <w:bottom w:val="single" w:color="auto" w:sz="4" w:space="0"/>
            </w:tcBorders>
            <w:vAlign w:val="center"/>
          </w:tcPr>
          <w:p w14:paraId="4012807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74A12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5" w:hRule="exact"/>
          <w:jc w:val="center"/>
        </w:trPr>
        <w:tc>
          <w:tcPr>
            <w:tcW w:w="674" w:type="dxa"/>
            <w:tcBorders>
              <w:top w:val="single" w:color="auto" w:sz="4" w:space="0"/>
              <w:bottom w:val="single" w:color="auto" w:sz="4" w:space="0"/>
            </w:tcBorders>
            <w:vAlign w:val="center"/>
          </w:tcPr>
          <w:p w14:paraId="14E037F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6</w:t>
            </w:r>
          </w:p>
        </w:tc>
        <w:tc>
          <w:tcPr>
            <w:tcW w:w="1550" w:type="dxa"/>
            <w:tcBorders>
              <w:top w:val="single" w:color="auto" w:sz="4" w:space="0"/>
              <w:bottom w:val="single" w:color="auto" w:sz="4" w:space="0"/>
            </w:tcBorders>
            <w:vAlign w:val="center"/>
          </w:tcPr>
          <w:p w14:paraId="465D2F6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健康教育</w:t>
            </w:r>
          </w:p>
        </w:tc>
        <w:tc>
          <w:tcPr>
            <w:tcW w:w="5550" w:type="dxa"/>
            <w:tcBorders>
              <w:top w:val="single" w:color="auto" w:sz="4" w:space="0"/>
              <w:bottom w:val="single" w:color="auto" w:sz="4" w:space="0"/>
            </w:tcBorders>
            <w:vAlign w:val="center"/>
          </w:tcPr>
          <w:p w14:paraId="762570B8">
            <w:pPr>
              <w:pStyle w:val="2"/>
              <w:snapToGrid w:val="0"/>
              <w:spacing w:line="336" w:lineRule="auto"/>
              <w:jc w:val="left"/>
              <w:rPr>
                <w:rFonts w:ascii="宋体" w:hAnsi="宋体" w:eastAsia="宋体"/>
                <w:szCs w:val="21"/>
              </w:rPr>
            </w:pPr>
            <w:r>
              <w:rPr>
                <w:rFonts w:hint="eastAsia" w:ascii="宋体" w:hAnsi="宋体" w:eastAsia="宋体"/>
                <w:szCs w:val="21"/>
              </w:rPr>
              <w:t>主要学习健康行为与生活方式、疾病预防、心理健康、生长发育与青春期保健、安全应急与避险等五个方面的知识与技能，通过学生，培养学生健康独立生活</w:t>
            </w:r>
            <w:r>
              <w:rPr>
                <w:rFonts w:ascii="宋体" w:hAnsi="宋体" w:eastAsia="宋体"/>
                <w:szCs w:val="21"/>
              </w:rPr>
              <w:t>的</w:t>
            </w:r>
            <w:r>
              <w:rPr>
                <w:rFonts w:hint="eastAsia" w:ascii="宋体" w:hAnsi="宋体" w:eastAsia="宋体"/>
                <w:szCs w:val="21"/>
              </w:rPr>
              <w:t>能力</w:t>
            </w:r>
            <w:r>
              <w:rPr>
                <w:rFonts w:ascii="宋体" w:hAnsi="宋体" w:eastAsia="宋体"/>
                <w:szCs w:val="21"/>
              </w:rPr>
              <w:t>，</w:t>
            </w:r>
            <w:r>
              <w:rPr>
                <w:rFonts w:hint="eastAsia" w:ascii="宋体" w:hAnsi="宋体" w:eastAsia="宋体"/>
                <w:szCs w:val="21"/>
              </w:rPr>
              <w:t>使学生</w:t>
            </w:r>
            <w:r>
              <w:rPr>
                <w:rFonts w:ascii="宋体" w:hAnsi="宋体" w:eastAsia="宋体"/>
                <w:szCs w:val="21"/>
              </w:rPr>
              <w:t>养成会学习、会生活</w:t>
            </w:r>
            <w:r>
              <w:rPr>
                <w:rFonts w:hint="eastAsia" w:ascii="宋体" w:hAnsi="宋体" w:eastAsia="宋体"/>
                <w:szCs w:val="21"/>
              </w:rPr>
              <w:t>、</w:t>
            </w:r>
            <w:r>
              <w:rPr>
                <w:rFonts w:ascii="宋体" w:hAnsi="宋体" w:eastAsia="宋体"/>
                <w:szCs w:val="21"/>
              </w:rPr>
              <w:t>会劳动的好习惯。</w:t>
            </w:r>
          </w:p>
        </w:tc>
        <w:tc>
          <w:tcPr>
            <w:tcW w:w="752" w:type="dxa"/>
            <w:tcBorders>
              <w:top w:val="single" w:color="auto" w:sz="4" w:space="0"/>
              <w:bottom w:val="single" w:color="auto" w:sz="4" w:space="0"/>
            </w:tcBorders>
            <w:vAlign w:val="center"/>
          </w:tcPr>
          <w:p w14:paraId="338CA6E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18</w:t>
            </w:r>
          </w:p>
        </w:tc>
      </w:tr>
      <w:tr w14:paraId="62BCF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5" w:hRule="exact"/>
          <w:jc w:val="center"/>
        </w:trPr>
        <w:tc>
          <w:tcPr>
            <w:tcW w:w="674" w:type="dxa"/>
            <w:tcBorders>
              <w:top w:val="single" w:color="auto" w:sz="4" w:space="0"/>
              <w:bottom w:val="single" w:color="auto" w:sz="4" w:space="0"/>
            </w:tcBorders>
            <w:vAlign w:val="center"/>
          </w:tcPr>
          <w:p w14:paraId="510C93E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w:t>
            </w:r>
          </w:p>
        </w:tc>
        <w:tc>
          <w:tcPr>
            <w:tcW w:w="1550" w:type="dxa"/>
            <w:tcBorders>
              <w:top w:val="single" w:color="auto" w:sz="4" w:space="0"/>
              <w:bottom w:val="single" w:color="auto" w:sz="4" w:space="0"/>
            </w:tcBorders>
            <w:vAlign w:val="center"/>
          </w:tcPr>
          <w:p w14:paraId="499E4EC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环保教育</w:t>
            </w:r>
          </w:p>
        </w:tc>
        <w:tc>
          <w:tcPr>
            <w:tcW w:w="5550" w:type="dxa"/>
            <w:tcBorders>
              <w:top w:val="single" w:color="auto" w:sz="4" w:space="0"/>
              <w:bottom w:val="single" w:color="auto" w:sz="4" w:space="0"/>
            </w:tcBorders>
            <w:vAlign w:val="center"/>
          </w:tcPr>
          <w:p w14:paraId="049151EA">
            <w:pPr>
              <w:pStyle w:val="2"/>
              <w:snapToGrid w:val="0"/>
              <w:spacing w:line="336" w:lineRule="auto"/>
              <w:jc w:val="left"/>
              <w:rPr>
                <w:rFonts w:ascii="宋体" w:hAnsi="宋体" w:eastAsia="宋体"/>
                <w:szCs w:val="21"/>
              </w:rPr>
            </w:pPr>
            <w:r>
              <w:rPr>
                <w:rFonts w:hint="eastAsia" w:ascii="宋体" w:hAnsi="宋体" w:eastAsia="宋体"/>
                <w:szCs w:val="21"/>
              </w:rPr>
              <w:t>主要学习低碳、环保、绿色生活的科学知识，人类与环境、化学与环境关系的方面的内容。通过学习，培养学生热爱生活、具有美好生态环境的积极理念与情感，能从生活的细微处入手，为绿色家园创建而努力。</w:t>
            </w:r>
          </w:p>
        </w:tc>
        <w:tc>
          <w:tcPr>
            <w:tcW w:w="752" w:type="dxa"/>
            <w:tcBorders>
              <w:top w:val="single" w:color="auto" w:sz="4" w:space="0"/>
              <w:bottom w:val="single" w:color="auto" w:sz="4" w:space="0"/>
            </w:tcBorders>
            <w:vAlign w:val="center"/>
          </w:tcPr>
          <w:p w14:paraId="0BB5EE8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18</w:t>
            </w:r>
          </w:p>
        </w:tc>
      </w:tr>
      <w:tr w14:paraId="436BB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4" w:hRule="exact"/>
          <w:jc w:val="center"/>
        </w:trPr>
        <w:tc>
          <w:tcPr>
            <w:tcW w:w="674" w:type="dxa"/>
            <w:tcBorders>
              <w:top w:val="single" w:color="auto" w:sz="4" w:space="0"/>
              <w:bottom w:val="single" w:color="auto" w:sz="4" w:space="0"/>
            </w:tcBorders>
            <w:vAlign w:val="center"/>
          </w:tcPr>
          <w:p w14:paraId="0679EC3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8</w:t>
            </w:r>
          </w:p>
        </w:tc>
        <w:tc>
          <w:tcPr>
            <w:tcW w:w="1550" w:type="dxa"/>
            <w:tcBorders>
              <w:top w:val="single" w:color="auto" w:sz="4" w:space="0"/>
              <w:bottom w:val="single" w:color="auto" w:sz="4" w:space="0"/>
            </w:tcBorders>
            <w:vAlign w:val="center"/>
          </w:tcPr>
          <w:p w14:paraId="124FDB9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安全教育</w:t>
            </w:r>
          </w:p>
        </w:tc>
        <w:tc>
          <w:tcPr>
            <w:tcW w:w="5550" w:type="dxa"/>
            <w:tcBorders>
              <w:top w:val="single" w:color="auto" w:sz="4" w:space="0"/>
              <w:bottom w:val="single" w:color="auto" w:sz="4" w:space="0"/>
            </w:tcBorders>
            <w:vAlign w:val="center"/>
          </w:tcPr>
          <w:p w14:paraId="57429778">
            <w:pPr>
              <w:pStyle w:val="2"/>
              <w:snapToGrid w:val="0"/>
              <w:spacing w:line="336" w:lineRule="auto"/>
              <w:jc w:val="left"/>
              <w:rPr>
                <w:rFonts w:ascii="宋体" w:hAnsi="宋体" w:eastAsia="宋体"/>
                <w:szCs w:val="21"/>
              </w:rPr>
            </w:pPr>
            <w:r>
              <w:rPr>
                <w:rFonts w:ascii="宋体" w:hAnsi="宋体" w:eastAsia="宋体"/>
                <w:szCs w:val="21"/>
              </w:rPr>
              <w:t>主要学习</w:t>
            </w:r>
            <w:r>
              <w:rPr>
                <w:rFonts w:hint="eastAsia" w:ascii="宋体" w:hAnsi="宋体" w:eastAsia="宋体"/>
                <w:szCs w:val="21"/>
              </w:rPr>
              <w:t>国家安全各领域内涵及其关系，</w:t>
            </w:r>
            <w:r>
              <w:rPr>
                <w:rFonts w:ascii="宋体" w:hAnsi="宋体" w:eastAsia="宋体"/>
                <w:szCs w:val="21"/>
              </w:rPr>
              <w:t>生活、职场等基本</w:t>
            </w:r>
            <w:r>
              <w:rPr>
                <w:rFonts w:hint="eastAsia" w:ascii="宋体" w:hAnsi="宋体" w:eastAsia="宋体"/>
                <w:szCs w:val="21"/>
              </w:rPr>
              <w:t>安全知识和防范技能</w:t>
            </w:r>
            <w:r>
              <w:rPr>
                <w:rFonts w:ascii="宋体" w:hAnsi="宋体" w:eastAsia="宋体"/>
                <w:szCs w:val="21"/>
              </w:rPr>
              <w:t>以及</w:t>
            </w:r>
            <w:r>
              <w:rPr>
                <w:rFonts w:hint="eastAsia" w:ascii="宋体" w:hAnsi="宋体" w:eastAsia="宋体"/>
                <w:szCs w:val="21"/>
              </w:rPr>
              <w:t>生态环境现状、环境对健康的影响</w:t>
            </w:r>
            <w:r>
              <w:rPr>
                <w:rFonts w:ascii="宋体" w:hAnsi="宋体" w:eastAsia="宋体"/>
                <w:szCs w:val="21"/>
              </w:rPr>
              <w:t>、</w:t>
            </w:r>
            <w:r>
              <w:rPr>
                <w:rFonts w:hint="eastAsia" w:ascii="宋体" w:hAnsi="宋体" w:eastAsia="宋体"/>
                <w:szCs w:val="21"/>
              </w:rPr>
              <w:t>环保政策法规等基础知识。</w:t>
            </w:r>
            <w:r>
              <w:rPr>
                <w:rFonts w:ascii="宋体" w:hAnsi="宋体" w:eastAsia="宋体"/>
                <w:szCs w:val="21"/>
              </w:rPr>
              <w:t>通过学习，</w:t>
            </w:r>
            <w:r>
              <w:rPr>
                <w:rFonts w:hint="eastAsia" w:ascii="宋体" w:hAnsi="宋体" w:eastAsia="宋体"/>
                <w:szCs w:val="21"/>
              </w:rPr>
              <w:t>培养学生的社会安全责任感，使学生初步掌握国家安全各领域内涵及其关系，增强自觉维护国家安全的使命感；掌握必要的安全行为的知识和技能，养成在日常生活和突发安全事件中正确应对的习惯，保障学生健康成长。</w:t>
            </w:r>
          </w:p>
        </w:tc>
        <w:tc>
          <w:tcPr>
            <w:tcW w:w="752" w:type="dxa"/>
            <w:tcBorders>
              <w:top w:val="single" w:color="auto" w:sz="4" w:space="0"/>
              <w:bottom w:val="single" w:color="auto" w:sz="4" w:space="0"/>
            </w:tcBorders>
            <w:vAlign w:val="center"/>
          </w:tcPr>
          <w:p w14:paraId="35C9957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18</w:t>
            </w:r>
          </w:p>
        </w:tc>
      </w:tr>
      <w:tr w14:paraId="1610B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exact"/>
          <w:jc w:val="center"/>
        </w:trPr>
        <w:tc>
          <w:tcPr>
            <w:tcW w:w="674" w:type="dxa"/>
            <w:tcBorders>
              <w:top w:val="single" w:color="auto" w:sz="4" w:space="0"/>
              <w:bottom w:val="single" w:color="auto" w:sz="4" w:space="0"/>
            </w:tcBorders>
            <w:vAlign w:val="center"/>
          </w:tcPr>
          <w:p w14:paraId="641768A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9</w:t>
            </w:r>
          </w:p>
        </w:tc>
        <w:tc>
          <w:tcPr>
            <w:tcW w:w="1550" w:type="dxa"/>
            <w:tcBorders>
              <w:top w:val="single" w:color="auto" w:sz="4" w:space="0"/>
              <w:bottom w:val="single" w:color="auto" w:sz="4" w:space="0"/>
            </w:tcBorders>
            <w:vAlign w:val="center"/>
          </w:tcPr>
          <w:p w14:paraId="5471E13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海洋科学</w:t>
            </w:r>
          </w:p>
        </w:tc>
        <w:tc>
          <w:tcPr>
            <w:tcW w:w="5550" w:type="dxa"/>
            <w:tcBorders>
              <w:top w:val="single" w:color="auto" w:sz="4" w:space="0"/>
              <w:bottom w:val="single" w:color="auto" w:sz="4" w:space="0"/>
            </w:tcBorders>
            <w:vAlign w:val="center"/>
          </w:tcPr>
          <w:p w14:paraId="5155552D">
            <w:pPr>
              <w:pStyle w:val="2"/>
              <w:snapToGrid w:val="0"/>
              <w:spacing w:line="336" w:lineRule="auto"/>
              <w:jc w:val="left"/>
              <w:rPr>
                <w:rFonts w:hint="eastAsia" w:ascii="宋体" w:hAnsi="宋体" w:eastAsia="宋体"/>
                <w:szCs w:val="21"/>
              </w:rPr>
            </w:pPr>
            <w:r>
              <w:rPr>
                <w:rFonts w:hint="eastAsia" w:ascii="宋体" w:hAnsi="宋体" w:eastAsia="宋体"/>
                <w:szCs w:val="21"/>
              </w:rPr>
              <w:t>主要学习海洋自然环境的基本特征，海洋对人类生存和发展的价值，海洋环境问题等内容。通过学习，培养懂得学生积极参与海洋环境保护，维护国家海洋权益的重要意义，增强学生热爱祖国的情感。</w:t>
            </w:r>
          </w:p>
        </w:tc>
        <w:tc>
          <w:tcPr>
            <w:tcW w:w="752" w:type="dxa"/>
            <w:tcBorders>
              <w:top w:val="single" w:color="auto" w:sz="4" w:space="0"/>
              <w:bottom w:val="single" w:color="auto" w:sz="4" w:space="0"/>
            </w:tcBorders>
            <w:vAlign w:val="center"/>
          </w:tcPr>
          <w:p w14:paraId="15ED436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18</w:t>
            </w:r>
          </w:p>
        </w:tc>
      </w:tr>
      <w:tr w14:paraId="62CBB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5" w:hRule="exact"/>
          <w:jc w:val="center"/>
        </w:trPr>
        <w:tc>
          <w:tcPr>
            <w:tcW w:w="674" w:type="dxa"/>
            <w:tcBorders>
              <w:top w:val="single" w:color="auto" w:sz="4" w:space="0"/>
              <w:bottom w:val="single" w:color="auto" w:sz="4" w:space="0"/>
            </w:tcBorders>
            <w:vAlign w:val="center"/>
          </w:tcPr>
          <w:p w14:paraId="71ECCB34">
            <w:pPr>
              <w:pStyle w:val="2"/>
              <w:snapToGrid w:val="0"/>
              <w:spacing w:line="336" w:lineRule="auto"/>
              <w:ind w:firstLine="0" w:firstLineChars="0"/>
              <w:jc w:val="center"/>
              <w:rPr>
                <w:rFonts w:hint="default" w:ascii="宋体" w:hAnsi="宋体" w:eastAsia="宋体"/>
                <w:szCs w:val="21"/>
                <w:lang w:val="en-US" w:eastAsia="zh-CN"/>
              </w:rPr>
            </w:pPr>
            <w:bookmarkStart w:id="22" w:name="_Toc117938443"/>
            <w:r>
              <w:rPr>
                <w:rFonts w:hint="eastAsia" w:ascii="宋体" w:hAnsi="宋体" w:eastAsia="宋体"/>
                <w:szCs w:val="21"/>
                <w:lang w:val="en-US" w:eastAsia="zh-CN"/>
              </w:rPr>
              <w:t>10</w:t>
            </w:r>
          </w:p>
        </w:tc>
        <w:tc>
          <w:tcPr>
            <w:tcW w:w="1550" w:type="dxa"/>
            <w:tcBorders>
              <w:top w:val="single" w:color="auto" w:sz="4" w:space="0"/>
              <w:bottom w:val="single" w:color="auto" w:sz="4" w:space="0"/>
            </w:tcBorders>
            <w:vAlign w:val="center"/>
          </w:tcPr>
          <w:p w14:paraId="60E325E3">
            <w:pPr>
              <w:pStyle w:val="2"/>
              <w:snapToGrid w:val="0"/>
              <w:spacing w:line="336" w:lineRule="auto"/>
              <w:ind w:firstLine="0" w:firstLineChars="0"/>
              <w:jc w:val="center"/>
              <w:rPr>
                <w:rFonts w:hint="default" w:ascii="宋体" w:hAnsi="宋体" w:eastAsia="宋体"/>
                <w:szCs w:val="21"/>
                <w:lang w:val="en-US" w:eastAsia="zh-CN"/>
              </w:rPr>
            </w:pPr>
            <w:r>
              <w:rPr>
                <w:rFonts w:hint="eastAsia" w:ascii="宋体" w:hAnsi="宋体" w:eastAsia="宋体"/>
                <w:szCs w:val="21"/>
                <w:lang w:val="en-US" w:eastAsia="zh-CN"/>
              </w:rPr>
              <w:t>社交礼仪</w:t>
            </w:r>
          </w:p>
        </w:tc>
        <w:tc>
          <w:tcPr>
            <w:tcW w:w="5550" w:type="dxa"/>
            <w:tcBorders>
              <w:top w:val="single" w:color="auto" w:sz="4" w:space="0"/>
              <w:bottom w:val="single" w:color="auto" w:sz="4" w:space="0"/>
            </w:tcBorders>
            <w:vAlign w:val="center"/>
          </w:tcPr>
          <w:p w14:paraId="1B88F682">
            <w:pPr>
              <w:pStyle w:val="2"/>
              <w:snapToGrid w:val="0"/>
              <w:spacing w:line="336" w:lineRule="auto"/>
              <w:jc w:val="left"/>
              <w:rPr>
                <w:rFonts w:hint="eastAsia" w:ascii="宋体" w:hAnsi="宋体" w:eastAsia="宋体"/>
                <w:szCs w:val="21"/>
              </w:rPr>
            </w:pPr>
            <w:r>
              <w:rPr>
                <w:rFonts w:hint="eastAsia" w:ascii="宋体" w:hAnsi="宋体" w:eastAsia="宋体"/>
                <w:szCs w:val="21"/>
                <w:lang w:val="en-US" w:eastAsia="zh-CN"/>
              </w:rPr>
              <w:t>主要学习</w:t>
            </w:r>
            <w:r>
              <w:rPr>
                <w:rFonts w:hint="eastAsia" w:ascii="宋体" w:hAnsi="宋体" w:eastAsia="宋体"/>
                <w:szCs w:val="21"/>
              </w:rPr>
              <w:t>仪容、仪态、仪表礼仪，社会交往艺术技巧等方面的规范和操作要点。明确现代社交礼仪的功能和特点，了解现代礼仪的原则与技能应用，熟练掌握礼节的正确应用方法和要求,能够正确应用现代礼仪指导自己的生活实践活动。</w:t>
            </w:r>
            <w:r>
              <w:rPr>
                <w:rFonts w:hint="eastAsia" w:ascii="宋体" w:hAnsi="宋体" w:eastAsia="宋体"/>
                <w:szCs w:val="21"/>
                <w:lang w:val="en-US" w:eastAsia="zh-CN"/>
              </w:rPr>
              <w:t>通过学习</w:t>
            </w:r>
            <w:r>
              <w:rPr>
                <w:rFonts w:hint="eastAsia" w:ascii="宋体" w:hAnsi="宋体" w:eastAsia="宋体"/>
                <w:szCs w:val="21"/>
              </w:rPr>
              <w:t>让学生懂得个人塑造自身职业形象的重要意义和作用，提高学生人际交往、为人处事、待人接物的能力，使之能更好地适应社会环境，为将来的职业生涯打下良好的基础。</w:t>
            </w:r>
          </w:p>
        </w:tc>
        <w:tc>
          <w:tcPr>
            <w:tcW w:w="752" w:type="dxa"/>
            <w:tcBorders>
              <w:top w:val="single" w:color="auto" w:sz="4" w:space="0"/>
              <w:bottom w:val="single" w:color="auto" w:sz="4" w:space="0"/>
            </w:tcBorders>
            <w:vAlign w:val="center"/>
          </w:tcPr>
          <w:p w14:paraId="31C91CE7">
            <w:pPr>
              <w:pStyle w:val="2"/>
              <w:snapToGrid w:val="0"/>
              <w:spacing w:line="336" w:lineRule="auto"/>
              <w:ind w:firstLine="0" w:firstLineChars="0"/>
              <w:jc w:val="center"/>
              <w:rPr>
                <w:rFonts w:hint="default" w:ascii="宋体" w:hAnsi="宋体" w:eastAsia="宋体"/>
                <w:szCs w:val="21"/>
                <w:lang w:val="en-US" w:eastAsia="zh-CN"/>
              </w:rPr>
            </w:pPr>
            <w:r>
              <w:rPr>
                <w:rFonts w:hint="eastAsia" w:ascii="宋体" w:hAnsi="宋体" w:eastAsia="宋体"/>
                <w:szCs w:val="21"/>
                <w:lang w:val="en-US" w:eastAsia="zh-CN"/>
              </w:rPr>
              <w:t>36</w:t>
            </w:r>
          </w:p>
        </w:tc>
      </w:tr>
    </w:tbl>
    <w:p w14:paraId="76DE58DE">
      <w:pPr>
        <w:tabs>
          <w:tab w:val="left" w:pos="312"/>
        </w:tabs>
        <w:spacing w:after="156" w:afterLines="50"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2.专业课</w:t>
      </w:r>
      <w:bookmarkEnd w:id="22"/>
      <w:r>
        <w:rPr>
          <w:rFonts w:hint="eastAsia" w:ascii="仿宋_GB2312" w:hAnsi="黑体" w:eastAsia="仿宋_GB2312"/>
          <w:sz w:val="24"/>
          <w:szCs w:val="24"/>
        </w:rPr>
        <w:t>程</w:t>
      </w:r>
    </w:p>
    <w:p w14:paraId="75A96BC2">
      <w:pPr>
        <w:tabs>
          <w:tab w:val="left" w:pos="312"/>
        </w:tabs>
        <w:spacing w:after="156" w:afterLines="50"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（1）专业基础课程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5520"/>
        <w:gridCol w:w="767"/>
      </w:tblGrid>
      <w:tr w14:paraId="5896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shd w:val="clear" w:color="auto" w:fill="D7D7D7" w:themeFill="background1" w:themeFillShade="D8"/>
            <w:vAlign w:val="center"/>
          </w:tcPr>
          <w:p w14:paraId="74F801F0">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序号</w:t>
            </w:r>
          </w:p>
        </w:tc>
        <w:tc>
          <w:tcPr>
            <w:tcW w:w="1560" w:type="dxa"/>
            <w:shd w:val="clear" w:color="auto" w:fill="D7D7D7" w:themeFill="background1" w:themeFillShade="D8"/>
            <w:vAlign w:val="center"/>
          </w:tcPr>
          <w:p w14:paraId="340EAB9C">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课程名称</w:t>
            </w:r>
          </w:p>
        </w:tc>
        <w:tc>
          <w:tcPr>
            <w:tcW w:w="5520" w:type="dxa"/>
            <w:shd w:val="clear" w:color="auto" w:fill="D7D7D7" w:themeFill="background1" w:themeFillShade="D8"/>
            <w:vAlign w:val="center"/>
          </w:tcPr>
          <w:p w14:paraId="69A6AC91">
            <w:pPr>
              <w:spacing w:line="560" w:lineRule="exact"/>
              <w:ind w:firstLine="422" w:firstLineChars="200"/>
              <w:jc w:val="center"/>
              <w:rPr>
                <w:rFonts w:ascii="宋体" w:hAnsi="宋体" w:eastAsia="宋体" w:cs="Times New Roman"/>
                <w:b/>
                <w:bCs/>
                <w:color w:val="000000"/>
                <w:szCs w:val="21"/>
              </w:rPr>
            </w:pPr>
            <w:r>
              <w:rPr>
                <w:rFonts w:ascii="宋体" w:hAnsi="宋体" w:eastAsia="宋体" w:cs="Times New Roman"/>
                <w:b/>
                <w:bCs/>
                <w:color w:val="000000"/>
                <w:szCs w:val="21"/>
              </w:rPr>
              <w:t>主要教学内容和要求</w:t>
            </w:r>
          </w:p>
        </w:tc>
        <w:tc>
          <w:tcPr>
            <w:tcW w:w="767" w:type="dxa"/>
            <w:shd w:val="clear" w:color="auto" w:fill="D7D7D7" w:themeFill="background1" w:themeFillShade="D8"/>
            <w:vAlign w:val="center"/>
          </w:tcPr>
          <w:p w14:paraId="384B1028">
            <w:pPr>
              <w:jc w:val="center"/>
              <w:rPr>
                <w:rFonts w:ascii="宋体" w:hAnsi="宋体" w:eastAsia="宋体" w:cs="Times New Roman"/>
                <w:b/>
                <w:bCs/>
                <w:color w:val="000000"/>
                <w:szCs w:val="21"/>
              </w:rPr>
            </w:pPr>
            <w:r>
              <w:rPr>
                <w:rFonts w:ascii="宋体" w:hAnsi="宋体" w:eastAsia="宋体" w:cs="Times New Roman"/>
                <w:b/>
                <w:bCs/>
                <w:color w:val="000000"/>
                <w:szCs w:val="21"/>
              </w:rPr>
              <w:t>参考学时</w:t>
            </w:r>
          </w:p>
        </w:tc>
      </w:tr>
      <w:tr w14:paraId="2B2C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8061E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560" w:type="dxa"/>
            <w:vAlign w:val="center"/>
          </w:tcPr>
          <w:p w14:paraId="3413AA0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会计基础</w:t>
            </w:r>
          </w:p>
        </w:tc>
        <w:tc>
          <w:tcPr>
            <w:tcW w:w="5520" w:type="dxa"/>
          </w:tcPr>
          <w:p w14:paraId="7369A62F">
            <w:pPr>
              <w:pStyle w:val="2"/>
              <w:snapToGrid w:val="0"/>
              <w:spacing w:line="336" w:lineRule="auto"/>
              <w:jc w:val="left"/>
              <w:rPr>
                <w:rFonts w:ascii="宋体" w:hAnsi="宋体" w:eastAsia="宋体"/>
                <w:szCs w:val="21"/>
              </w:rPr>
            </w:pPr>
            <w:r>
              <w:rPr>
                <w:rFonts w:hint="eastAsia" w:ascii="宋体" w:hAnsi="宋体" w:eastAsia="宋体"/>
                <w:szCs w:val="21"/>
              </w:rPr>
              <w:t>掌握会计的职能、特点、对象及会计核算基本前提等基本理论。掌握会计要素、会计等式、会计科目、账户和借贷记账法等基本知识。能够填制会计凭证、登记会计账簿、编制会计报表。使学生具备学习后续专业课程的专业基础能力，同时注重培养学生的会计基本职业养。</w:t>
            </w:r>
          </w:p>
        </w:tc>
        <w:tc>
          <w:tcPr>
            <w:tcW w:w="767" w:type="dxa"/>
            <w:vAlign w:val="center"/>
          </w:tcPr>
          <w:p w14:paraId="203C48B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72</w:t>
            </w:r>
          </w:p>
        </w:tc>
      </w:tr>
      <w:tr w14:paraId="54D3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EEC4E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560" w:type="dxa"/>
            <w:vAlign w:val="center"/>
          </w:tcPr>
          <w:p w14:paraId="649D476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金融基础</w:t>
            </w:r>
          </w:p>
        </w:tc>
        <w:tc>
          <w:tcPr>
            <w:tcW w:w="5520" w:type="dxa"/>
          </w:tcPr>
          <w:p w14:paraId="12280794">
            <w:pPr>
              <w:pStyle w:val="2"/>
              <w:snapToGrid w:val="0"/>
              <w:spacing w:line="336" w:lineRule="auto"/>
              <w:jc w:val="left"/>
              <w:rPr>
                <w:rFonts w:ascii="宋体" w:hAnsi="宋体" w:eastAsia="宋体"/>
                <w:szCs w:val="21"/>
              </w:rPr>
            </w:pPr>
            <w:r>
              <w:rPr>
                <w:rFonts w:hint="eastAsia" w:ascii="宋体" w:hAnsi="宋体" w:eastAsia="宋体"/>
                <w:szCs w:val="21"/>
              </w:rPr>
              <w:t>本课程旨在理解货币的本质与货币流通规律；掌握货币的职能、了解货币形式的发展、货币制度的内容与演变和货币流通形式与渠道、理解信用的概念和特征、掌握信用的构成要素、理解性用工具的概念和特征、掌握常见的信用工具和信用工具的分类、理解利息的本质、利息率的概念及分类、理解影响利息率的因素，掌握利息的计算方法、理解金融机构的概念和金融机构体系。</w:t>
            </w:r>
          </w:p>
        </w:tc>
        <w:tc>
          <w:tcPr>
            <w:tcW w:w="767" w:type="dxa"/>
            <w:vAlign w:val="center"/>
          </w:tcPr>
          <w:p w14:paraId="66AD4C41">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0A4C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1E6E6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560" w:type="dxa"/>
            <w:vAlign w:val="center"/>
          </w:tcPr>
          <w:p w14:paraId="390BF47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经济法基础</w:t>
            </w:r>
          </w:p>
        </w:tc>
        <w:tc>
          <w:tcPr>
            <w:tcW w:w="5520" w:type="dxa"/>
          </w:tcPr>
          <w:p w14:paraId="3F0935E5">
            <w:pPr>
              <w:pStyle w:val="2"/>
              <w:snapToGrid w:val="0"/>
              <w:spacing w:line="336" w:lineRule="auto"/>
              <w:jc w:val="left"/>
              <w:rPr>
                <w:rFonts w:ascii="宋体" w:hAnsi="宋体" w:eastAsia="宋体"/>
                <w:szCs w:val="21"/>
              </w:rPr>
            </w:pPr>
            <w:r>
              <w:rPr>
                <w:rFonts w:hint="eastAsia" w:ascii="宋体" w:hAnsi="宋体" w:eastAsia="宋体"/>
                <w:szCs w:val="21"/>
              </w:rPr>
              <w:t>掌握我国经济法学的基本理论和知识，培养学生严密的逻辑思维能力，开拓分析问题的思路，并能运用经济法学的理论和知识，结合有关的法律规定，分析并处理有关的经济法实务问题。本课程与其他专业课程具有密切联系，因此学习本课程，应注意与其他专业课程相结合，从而加深印象并做到融会贯通。</w:t>
            </w:r>
          </w:p>
        </w:tc>
        <w:tc>
          <w:tcPr>
            <w:tcW w:w="767" w:type="dxa"/>
            <w:vAlign w:val="center"/>
          </w:tcPr>
          <w:p w14:paraId="2BDAB56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72</w:t>
            </w:r>
          </w:p>
        </w:tc>
      </w:tr>
    </w:tbl>
    <w:p w14:paraId="32588804">
      <w:pPr>
        <w:tabs>
          <w:tab w:val="left" w:pos="312"/>
        </w:tabs>
        <w:spacing w:after="156" w:afterLines="50"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（2）专业核心课程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515"/>
        <w:gridCol w:w="2351"/>
        <w:gridCol w:w="3020"/>
        <w:gridCol w:w="745"/>
      </w:tblGrid>
      <w:tr w14:paraId="6548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5" w:type="dxa"/>
            <w:shd w:val="clear" w:color="auto" w:fill="D7D7D7" w:themeFill="background1" w:themeFillShade="D8"/>
            <w:vAlign w:val="center"/>
          </w:tcPr>
          <w:p w14:paraId="326B3978">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序号</w:t>
            </w:r>
          </w:p>
        </w:tc>
        <w:tc>
          <w:tcPr>
            <w:tcW w:w="1515" w:type="dxa"/>
            <w:shd w:val="clear" w:color="auto" w:fill="D7D7D7" w:themeFill="background1" w:themeFillShade="D8"/>
            <w:vAlign w:val="center"/>
          </w:tcPr>
          <w:p w14:paraId="7B2C0133">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课程名称</w:t>
            </w:r>
          </w:p>
        </w:tc>
        <w:tc>
          <w:tcPr>
            <w:tcW w:w="2351" w:type="dxa"/>
            <w:shd w:val="clear" w:color="auto" w:fill="D7D7D7" w:themeFill="background1" w:themeFillShade="D8"/>
            <w:vAlign w:val="center"/>
          </w:tcPr>
          <w:p w14:paraId="0823EB4F">
            <w:pPr>
              <w:spacing w:line="56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典型工作任务描述</w:t>
            </w:r>
          </w:p>
        </w:tc>
        <w:tc>
          <w:tcPr>
            <w:tcW w:w="3020" w:type="dxa"/>
            <w:shd w:val="clear" w:color="auto" w:fill="D7D7D7" w:themeFill="background1" w:themeFillShade="D8"/>
            <w:vAlign w:val="center"/>
          </w:tcPr>
          <w:p w14:paraId="074A1408">
            <w:pPr>
              <w:spacing w:line="560" w:lineRule="exact"/>
              <w:ind w:firstLine="422" w:firstLineChars="200"/>
              <w:jc w:val="left"/>
              <w:rPr>
                <w:rFonts w:ascii="宋体" w:hAnsi="宋体" w:eastAsia="宋体" w:cs="Times New Roman"/>
                <w:b/>
                <w:bCs/>
                <w:color w:val="000000"/>
                <w:szCs w:val="21"/>
              </w:rPr>
            </w:pPr>
            <w:r>
              <w:rPr>
                <w:rFonts w:ascii="宋体" w:hAnsi="宋体" w:eastAsia="宋体" w:cs="Times New Roman"/>
                <w:b/>
                <w:bCs/>
                <w:color w:val="000000"/>
                <w:szCs w:val="21"/>
              </w:rPr>
              <w:t>主要教学内容和要求</w:t>
            </w:r>
          </w:p>
        </w:tc>
        <w:tc>
          <w:tcPr>
            <w:tcW w:w="745" w:type="dxa"/>
            <w:shd w:val="clear" w:color="auto" w:fill="D7D7D7" w:themeFill="background1" w:themeFillShade="D8"/>
            <w:vAlign w:val="center"/>
          </w:tcPr>
          <w:p w14:paraId="76AF1C96">
            <w:pPr>
              <w:jc w:val="center"/>
              <w:rPr>
                <w:rFonts w:ascii="宋体" w:hAnsi="宋体" w:eastAsia="宋体" w:cs="Times New Roman"/>
                <w:b/>
                <w:bCs/>
                <w:color w:val="000000"/>
                <w:szCs w:val="21"/>
              </w:rPr>
            </w:pPr>
            <w:r>
              <w:rPr>
                <w:rFonts w:ascii="宋体" w:hAnsi="宋体" w:eastAsia="宋体" w:cs="Times New Roman"/>
                <w:b/>
                <w:bCs/>
                <w:color w:val="000000"/>
                <w:szCs w:val="21"/>
              </w:rPr>
              <w:t>参考学时</w:t>
            </w:r>
          </w:p>
        </w:tc>
      </w:tr>
      <w:tr w14:paraId="08A9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A9AC49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515" w:type="dxa"/>
            <w:vAlign w:val="center"/>
          </w:tcPr>
          <w:p w14:paraId="1F9622B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企业财务会计</w:t>
            </w:r>
          </w:p>
        </w:tc>
        <w:tc>
          <w:tcPr>
            <w:tcW w:w="2351" w:type="dxa"/>
          </w:tcPr>
          <w:p w14:paraId="31909605">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1.核算资金筹集业务；</w:t>
            </w:r>
          </w:p>
          <w:p w14:paraId="60B5CD5D">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2.核算采购与应付业务；</w:t>
            </w:r>
          </w:p>
          <w:p w14:paraId="1B2A69D9">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3.核算销售与应收业务；</w:t>
            </w:r>
          </w:p>
          <w:p w14:paraId="4EBFC82D">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4.核算固定资产和无形资产业务；</w:t>
            </w:r>
          </w:p>
          <w:p w14:paraId="4CA1311A">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5.核算工资薪金业务；</w:t>
            </w:r>
          </w:p>
          <w:p w14:paraId="21A15815">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6.核算与控制期间费用；</w:t>
            </w:r>
          </w:p>
          <w:p w14:paraId="05A500F7">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7.核算财务成果；</w:t>
            </w:r>
          </w:p>
          <w:p w14:paraId="58DC72FE">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8.编制会计报表。</w:t>
            </w:r>
          </w:p>
        </w:tc>
        <w:tc>
          <w:tcPr>
            <w:tcW w:w="3020" w:type="dxa"/>
          </w:tcPr>
          <w:p w14:paraId="62080AD1">
            <w:pPr>
              <w:pStyle w:val="2"/>
              <w:snapToGrid w:val="0"/>
              <w:spacing w:line="336" w:lineRule="auto"/>
              <w:jc w:val="left"/>
              <w:rPr>
                <w:rFonts w:ascii="宋体" w:hAnsi="宋体" w:eastAsia="宋体"/>
                <w:szCs w:val="21"/>
              </w:rPr>
            </w:pPr>
            <w:r>
              <w:rPr>
                <w:rFonts w:hint="eastAsia" w:ascii="宋体" w:hAnsi="宋体" w:eastAsia="宋体"/>
                <w:szCs w:val="21"/>
              </w:rPr>
              <w:t>掌握企业货币资金、存货、固定资产、对外投资、负债、所有者权益、收入、费用、利润等各会计要素主要经济业务的确认、计量与账务处理方法和企业主要会计报表的编制方法；掌握产品成本计算的基本方法。了解企业结算方式、成本核算的要求和一般程序、企业会计报表及附注等内容。培养学生在财务云智能技术应用背景下的会计专业基本素养和职业精神。</w:t>
            </w:r>
          </w:p>
        </w:tc>
        <w:tc>
          <w:tcPr>
            <w:tcW w:w="745" w:type="dxa"/>
            <w:vAlign w:val="center"/>
          </w:tcPr>
          <w:p w14:paraId="21F7C3DC">
            <w:pPr>
              <w:spacing w:line="400" w:lineRule="exac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112</w:t>
            </w:r>
          </w:p>
        </w:tc>
      </w:tr>
      <w:tr w14:paraId="7E93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FCE125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515" w:type="dxa"/>
            <w:vAlign w:val="center"/>
          </w:tcPr>
          <w:p w14:paraId="083018D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税收基础</w:t>
            </w:r>
          </w:p>
        </w:tc>
        <w:tc>
          <w:tcPr>
            <w:tcW w:w="2351" w:type="dxa"/>
          </w:tcPr>
          <w:p w14:paraId="705D510F">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1.办理税务登记；</w:t>
            </w:r>
          </w:p>
          <w:p w14:paraId="1A099FE8">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2.纳税筹划；</w:t>
            </w:r>
          </w:p>
          <w:p w14:paraId="0BE09403">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3.税务检查；</w:t>
            </w:r>
          </w:p>
          <w:p w14:paraId="60FC63F0">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4.各个税种的税法要素规定；</w:t>
            </w:r>
          </w:p>
          <w:p w14:paraId="6AD4A71A">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5.纳税人的权利和义务；</w:t>
            </w:r>
          </w:p>
          <w:p w14:paraId="1789858F">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6.税收的法律责任和法律救济；</w:t>
            </w:r>
          </w:p>
          <w:p w14:paraId="6AA6BAD4">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7.涉税的会计处理。</w:t>
            </w:r>
          </w:p>
          <w:p w14:paraId="78870E73">
            <w:pPr>
              <w:pStyle w:val="2"/>
              <w:snapToGrid w:val="0"/>
              <w:spacing w:line="336" w:lineRule="auto"/>
              <w:ind w:firstLine="0" w:firstLineChars="0"/>
              <w:jc w:val="left"/>
              <w:rPr>
                <w:rFonts w:ascii="宋体" w:hAnsi="宋体" w:eastAsia="宋体"/>
                <w:szCs w:val="21"/>
              </w:rPr>
            </w:pPr>
          </w:p>
        </w:tc>
        <w:tc>
          <w:tcPr>
            <w:tcW w:w="3020" w:type="dxa"/>
          </w:tcPr>
          <w:p w14:paraId="52BFD882">
            <w:pPr>
              <w:pStyle w:val="2"/>
              <w:snapToGrid w:val="0"/>
              <w:spacing w:line="336" w:lineRule="auto"/>
              <w:jc w:val="left"/>
              <w:rPr>
                <w:rFonts w:ascii="宋体" w:hAnsi="宋体" w:eastAsia="宋体"/>
                <w:szCs w:val="21"/>
              </w:rPr>
            </w:pPr>
            <w:r>
              <w:rPr>
                <w:rFonts w:hint="eastAsia" w:ascii="宋体" w:hAnsi="宋体" w:eastAsia="宋体"/>
                <w:szCs w:val="21"/>
              </w:rPr>
              <w:t xml:space="preserve">了解税收的概念、特征及职能，理解税收的分类；了解税制与税法的概念，理解二者的关系，掌握税收的构成要要素。了解增值税的概念、特征和分类，理解增值税的纳税义务人、征税范围和税率。掌握增值税、消费税、企业所得税、个人所得税及小税种的纳税人、征税范围、税率；掌握纳税人的权利和义务；理解税收法律责任和法律救济的主要内容。 </w:t>
            </w:r>
          </w:p>
        </w:tc>
        <w:tc>
          <w:tcPr>
            <w:tcW w:w="745" w:type="dxa"/>
            <w:vAlign w:val="center"/>
          </w:tcPr>
          <w:p w14:paraId="076D90BB">
            <w:pPr>
              <w:spacing w:line="400" w:lineRule="exac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112</w:t>
            </w:r>
          </w:p>
        </w:tc>
      </w:tr>
      <w:tr w14:paraId="09C1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F5154E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515" w:type="dxa"/>
            <w:vAlign w:val="center"/>
          </w:tcPr>
          <w:p w14:paraId="07C303D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纳税实务</w:t>
            </w:r>
          </w:p>
        </w:tc>
        <w:tc>
          <w:tcPr>
            <w:tcW w:w="2351" w:type="dxa"/>
          </w:tcPr>
          <w:p w14:paraId="239D70BE">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1.计算、申报和缴纳增值税及其附加税费；</w:t>
            </w:r>
          </w:p>
          <w:p w14:paraId="06BDFB09">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2.计算、申报和缴纳消费税；</w:t>
            </w:r>
          </w:p>
          <w:p w14:paraId="698C22B7">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3.计算、申报和缴纳企业所得税；</w:t>
            </w:r>
          </w:p>
          <w:p w14:paraId="6833D544">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4.计算、申报和缴纳代扣代缴个人所得税；</w:t>
            </w:r>
          </w:p>
          <w:p w14:paraId="6823AEDF">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5.计算、申报和缴纳小税种。</w:t>
            </w:r>
          </w:p>
        </w:tc>
        <w:tc>
          <w:tcPr>
            <w:tcW w:w="3020" w:type="dxa"/>
          </w:tcPr>
          <w:p w14:paraId="316ADC1C">
            <w:pPr>
              <w:pStyle w:val="2"/>
              <w:snapToGrid w:val="0"/>
              <w:spacing w:line="336" w:lineRule="auto"/>
              <w:jc w:val="left"/>
              <w:rPr>
                <w:rFonts w:ascii="宋体" w:hAnsi="宋体" w:eastAsia="宋体"/>
                <w:szCs w:val="21"/>
              </w:rPr>
            </w:pPr>
            <w:r>
              <w:rPr>
                <w:rFonts w:hint="eastAsia" w:ascii="宋体" w:hAnsi="宋体" w:eastAsia="宋体"/>
                <w:szCs w:val="21"/>
              </w:rPr>
              <w:t xml:space="preserve">掌握增值税发票的开具流程；掌握各个税种的申报流程；掌握增值税应纳税额的计算；掌握增值税、消费税、企业所得税、个人所得税应纳税额的计算；理解增值税的纳税义务发生时间、纳税期限和纳税地点。 </w:t>
            </w:r>
          </w:p>
          <w:p w14:paraId="57CFD638">
            <w:pPr>
              <w:pStyle w:val="2"/>
              <w:snapToGrid w:val="0"/>
              <w:spacing w:line="336" w:lineRule="auto"/>
              <w:jc w:val="left"/>
              <w:rPr>
                <w:rFonts w:ascii="宋体" w:hAnsi="宋体" w:eastAsia="宋体"/>
                <w:szCs w:val="21"/>
              </w:rPr>
            </w:pPr>
          </w:p>
        </w:tc>
        <w:tc>
          <w:tcPr>
            <w:tcW w:w="745" w:type="dxa"/>
            <w:vAlign w:val="center"/>
          </w:tcPr>
          <w:p w14:paraId="425EA5F7">
            <w:pPr>
              <w:spacing w:line="400" w:lineRule="exac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72</w:t>
            </w:r>
          </w:p>
        </w:tc>
      </w:tr>
      <w:tr w14:paraId="1C9C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821DE9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4</w:t>
            </w:r>
          </w:p>
        </w:tc>
        <w:tc>
          <w:tcPr>
            <w:tcW w:w="1515" w:type="dxa"/>
            <w:vAlign w:val="center"/>
          </w:tcPr>
          <w:p w14:paraId="7477E94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会计电算化</w:t>
            </w:r>
          </w:p>
        </w:tc>
        <w:tc>
          <w:tcPr>
            <w:tcW w:w="2351" w:type="dxa"/>
          </w:tcPr>
          <w:p w14:paraId="52840CE1">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1.系统初始化设置；</w:t>
            </w:r>
          </w:p>
          <w:p w14:paraId="2B65C639">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2.掌握总账及报表系统操作方法；</w:t>
            </w:r>
          </w:p>
          <w:p w14:paraId="43657BE5">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3.核算工资、固定资产、购销存；</w:t>
            </w:r>
          </w:p>
          <w:p w14:paraId="305DD277">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4.纳税申报业务操作；</w:t>
            </w:r>
          </w:p>
          <w:p w14:paraId="596D81C6">
            <w:pPr>
              <w:pStyle w:val="2"/>
              <w:snapToGrid w:val="0"/>
              <w:spacing w:line="336" w:lineRule="auto"/>
              <w:ind w:firstLine="0" w:firstLineChars="0"/>
              <w:jc w:val="left"/>
              <w:rPr>
                <w:rFonts w:ascii="宋体" w:hAnsi="宋体" w:eastAsia="宋体"/>
                <w:szCs w:val="21"/>
              </w:rPr>
            </w:pPr>
            <w:r>
              <w:rPr>
                <w:rFonts w:hint="eastAsia" w:ascii="宋体" w:hAnsi="宋体" w:eastAsia="宋体"/>
                <w:szCs w:val="21"/>
              </w:rPr>
              <w:t>5.理解会计信息系统的数据流程、模块构建。</w:t>
            </w:r>
          </w:p>
        </w:tc>
        <w:tc>
          <w:tcPr>
            <w:tcW w:w="3020" w:type="dxa"/>
          </w:tcPr>
          <w:p w14:paraId="6F4EA41C">
            <w:pPr>
              <w:pStyle w:val="2"/>
              <w:snapToGrid w:val="0"/>
              <w:spacing w:line="336" w:lineRule="auto"/>
              <w:jc w:val="left"/>
              <w:rPr>
                <w:rFonts w:ascii="宋体" w:hAnsi="宋体" w:eastAsia="宋体"/>
                <w:szCs w:val="21"/>
              </w:rPr>
            </w:pPr>
            <w:r>
              <w:rPr>
                <w:rFonts w:hint="eastAsia" w:ascii="宋体" w:hAnsi="宋体" w:eastAsia="宋体"/>
                <w:szCs w:val="21"/>
              </w:rPr>
              <w:t>掌握企业会计信息系统分析与设计的基本原理、电算化会计软件的初始化设置、总账系统、报表系统以及工资核算、固定资产核算、购销存业务及纳税申报等业务核算子系统的操作方法；理解会计信息系统的数据流程、模块构建，会计电算化对传统手工会计方式的影响；</w:t>
            </w:r>
          </w:p>
        </w:tc>
        <w:tc>
          <w:tcPr>
            <w:tcW w:w="745" w:type="dxa"/>
            <w:vAlign w:val="center"/>
          </w:tcPr>
          <w:p w14:paraId="6AF435D0">
            <w:pPr>
              <w:spacing w:line="400" w:lineRule="exact"/>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72</w:t>
            </w:r>
          </w:p>
        </w:tc>
      </w:tr>
    </w:tbl>
    <w:p w14:paraId="6F78C357">
      <w:pPr>
        <w:tabs>
          <w:tab w:val="left" w:pos="312"/>
        </w:tabs>
        <w:spacing w:after="156" w:afterLines="50"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（3）专业拓展课程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5558"/>
        <w:gridCol w:w="729"/>
      </w:tblGrid>
      <w:tr w14:paraId="23EC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5" w:type="dxa"/>
            <w:shd w:val="clear" w:color="auto" w:fill="D7D7D7" w:themeFill="background1" w:themeFillShade="D8"/>
            <w:vAlign w:val="center"/>
          </w:tcPr>
          <w:p w14:paraId="401B6598">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序号</w:t>
            </w:r>
          </w:p>
        </w:tc>
        <w:tc>
          <w:tcPr>
            <w:tcW w:w="1560" w:type="dxa"/>
            <w:shd w:val="clear" w:color="auto" w:fill="D7D7D7" w:themeFill="background1" w:themeFillShade="D8"/>
            <w:vAlign w:val="center"/>
          </w:tcPr>
          <w:p w14:paraId="4D4868F1">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课程名称</w:t>
            </w:r>
          </w:p>
        </w:tc>
        <w:tc>
          <w:tcPr>
            <w:tcW w:w="5558" w:type="dxa"/>
            <w:shd w:val="clear" w:color="auto" w:fill="D7D7D7" w:themeFill="background1" w:themeFillShade="D8"/>
            <w:vAlign w:val="center"/>
          </w:tcPr>
          <w:p w14:paraId="2BBB18D2">
            <w:pPr>
              <w:spacing w:line="560" w:lineRule="exact"/>
              <w:ind w:firstLine="422" w:firstLineChars="200"/>
              <w:jc w:val="center"/>
              <w:rPr>
                <w:rFonts w:ascii="宋体" w:hAnsi="宋体" w:eastAsia="宋体" w:cs="Times New Roman"/>
                <w:b/>
                <w:bCs/>
                <w:color w:val="000000"/>
                <w:szCs w:val="21"/>
              </w:rPr>
            </w:pPr>
            <w:r>
              <w:rPr>
                <w:rFonts w:ascii="宋体" w:hAnsi="宋体" w:eastAsia="宋体" w:cs="Times New Roman"/>
                <w:b/>
                <w:bCs/>
                <w:color w:val="000000"/>
                <w:szCs w:val="21"/>
              </w:rPr>
              <w:t>主要教学内容和要求</w:t>
            </w:r>
          </w:p>
        </w:tc>
        <w:tc>
          <w:tcPr>
            <w:tcW w:w="729" w:type="dxa"/>
            <w:shd w:val="clear" w:color="auto" w:fill="D7D7D7" w:themeFill="background1" w:themeFillShade="D8"/>
            <w:vAlign w:val="center"/>
          </w:tcPr>
          <w:p w14:paraId="0E6A3F16">
            <w:pPr>
              <w:jc w:val="center"/>
              <w:rPr>
                <w:rFonts w:ascii="宋体" w:hAnsi="宋体" w:eastAsia="宋体" w:cs="Times New Roman"/>
                <w:b/>
                <w:bCs/>
                <w:color w:val="000000"/>
                <w:szCs w:val="21"/>
              </w:rPr>
            </w:pPr>
            <w:r>
              <w:rPr>
                <w:rFonts w:ascii="宋体" w:hAnsi="宋体" w:eastAsia="宋体" w:cs="Times New Roman"/>
                <w:b/>
                <w:bCs/>
                <w:color w:val="000000"/>
                <w:szCs w:val="21"/>
              </w:rPr>
              <w:t>参考学时</w:t>
            </w:r>
          </w:p>
        </w:tc>
      </w:tr>
      <w:tr w14:paraId="60C9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6A6BB5E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560" w:type="dxa"/>
            <w:vAlign w:val="center"/>
          </w:tcPr>
          <w:p w14:paraId="289A5D1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金融认知</w:t>
            </w:r>
          </w:p>
        </w:tc>
        <w:tc>
          <w:tcPr>
            <w:tcW w:w="5558" w:type="dxa"/>
          </w:tcPr>
          <w:p w14:paraId="0706467E">
            <w:pPr>
              <w:pStyle w:val="2"/>
              <w:snapToGrid w:val="0"/>
              <w:spacing w:line="336" w:lineRule="auto"/>
              <w:jc w:val="left"/>
              <w:rPr>
                <w:rFonts w:ascii="宋体" w:hAnsi="宋体" w:eastAsia="宋体"/>
                <w:szCs w:val="21"/>
              </w:rPr>
            </w:pPr>
            <w:r>
              <w:rPr>
                <w:rFonts w:hint="eastAsia" w:ascii="宋体" w:hAnsi="宋体" w:eastAsia="宋体"/>
                <w:szCs w:val="21"/>
              </w:rPr>
              <w:t>本课程旨在理解货币的本质与货币流通规律；掌握货币的职能、了解货币形式的发展、货币制度的内容与演变和货币流通形式与渠道、理解信用的概念和特征、掌握信用的构成要素、理解性用工具的概念和特征、掌握常见的信用工具和信用工具的分类、理解利息的本质、利息率的概念及分类、理解影响利息率的因素，掌握利息的计算方法、理解金融机构的概念和金融机构体系。</w:t>
            </w:r>
          </w:p>
        </w:tc>
        <w:tc>
          <w:tcPr>
            <w:tcW w:w="729" w:type="dxa"/>
            <w:vAlign w:val="center"/>
          </w:tcPr>
          <w:p w14:paraId="78FDEB5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176B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8329C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560" w:type="dxa"/>
            <w:vAlign w:val="center"/>
          </w:tcPr>
          <w:p w14:paraId="232BE0B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场景化企业经营模拟</w:t>
            </w:r>
          </w:p>
        </w:tc>
        <w:tc>
          <w:tcPr>
            <w:tcW w:w="5558" w:type="dxa"/>
          </w:tcPr>
          <w:p w14:paraId="688A2102">
            <w:pPr>
              <w:pStyle w:val="2"/>
              <w:snapToGrid w:val="0"/>
              <w:spacing w:line="336" w:lineRule="auto"/>
              <w:jc w:val="left"/>
              <w:rPr>
                <w:rFonts w:ascii="宋体" w:hAnsi="宋体" w:eastAsia="宋体"/>
                <w:szCs w:val="21"/>
              </w:rPr>
            </w:pPr>
            <w:r>
              <w:rPr>
                <w:rFonts w:hint="eastAsia" w:ascii="宋体" w:hAnsi="宋体" w:eastAsia="宋体"/>
                <w:szCs w:val="21"/>
              </w:rPr>
              <w:t>本课程旨在掌握资产负债表、利润表的结构；掌握资本流转如何影响损益；理解现金流对企业经营的影响；如何以最佳方式筹资，控制融资成本；了解企业的真实运作流程；理解企业成功运营的关键因素；掌握沙盘运营的规则及竞单规则。</w:t>
            </w:r>
          </w:p>
        </w:tc>
        <w:tc>
          <w:tcPr>
            <w:tcW w:w="729" w:type="dxa"/>
            <w:vAlign w:val="center"/>
          </w:tcPr>
          <w:p w14:paraId="1E0A949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0A7C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ABD6C0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560" w:type="dxa"/>
            <w:vAlign w:val="center"/>
          </w:tcPr>
          <w:p w14:paraId="1678C6C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财经法规与会计职业道德</w:t>
            </w:r>
          </w:p>
        </w:tc>
        <w:tc>
          <w:tcPr>
            <w:tcW w:w="5558" w:type="dxa"/>
          </w:tcPr>
          <w:p w14:paraId="5EB942F8">
            <w:pPr>
              <w:pStyle w:val="2"/>
              <w:snapToGrid w:val="0"/>
              <w:spacing w:line="336" w:lineRule="auto"/>
              <w:jc w:val="left"/>
              <w:rPr>
                <w:rFonts w:ascii="宋体" w:hAnsi="宋体" w:eastAsia="宋体"/>
                <w:szCs w:val="21"/>
              </w:rPr>
            </w:pPr>
            <w:r>
              <w:rPr>
                <w:rFonts w:hint="eastAsia" w:ascii="宋体" w:hAnsi="宋体" w:eastAsia="宋体"/>
                <w:szCs w:val="21"/>
              </w:rPr>
              <w:t>本课程旨在掌握会计法律制度、国家统一的会计制度；熟悉单位和个人银行结算账户的开立、变更和撤销；熟悉我国税收法律制度；掌握我国预算法律制度等；掌握会计职业道德的主要内容。</w:t>
            </w:r>
          </w:p>
        </w:tc>
        <w:tc>
          <w:tcPr>
            <w:tcW w:w="729" w:type="dxa"/>
            <w:vAlign w:val="center"/>
          </w:tcPr>
          <w:p w14:paraId="12DD850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19D0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BADE7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4</w:t>
            </w:r>
          </w:p>
        </w:tc>
        <w:tc>
          <w:tcPr>
            <w:tcW w:w="1560" w:type="dxa"/>
            <w:vAlign w:val="center"/>
          </w:tcPr>
          <w:p w14:paraId="364E2ED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大数据应用基础</w:t>
            </w:r>
          </w:p>
        </w:tc>
        <w:tc>
          <w:tcPr>
            <w:tcW w:w="5558" w:type="dxa"/>
          </w:tcPr>
          <w:p w14:paraId="0D5446D3">
            <w:pPr>
              <w:pStyle w:val="2"/>
              <w:snapToGrid w:val="0"/>
              <w:spacing w:line="336" w:lineRule="auto"/>
              <w:jc w:val="left"/>
              <w:rPr>
                <w:rFonts w:ascii="宋体" w:hAnsi="宋体" w:eastAsia="宋体"/>
                <w:szCs w:val="21"/>
              </w:rPr>
            </w:pPr>
            <w:r>
              <w:rPr>
                <w:rFonts w:hint="eastAsia" w:ascii="宋体" w:hAnsi="宋体" w:eastAsia="宋体"/>
                <w:szCs w:val="21"/>
              </w:rPr>
              <w:t>本课程旨在掌握大数据的处理流程、掌握大数据的应用领域、理解大数据分析的主要技术、掌握大数据可视化的概念、理解大数据可视化工具的应用、掌握Hadoop架构与组成、掌握MapReduce的内涵和局限性、掌握Spark与Hadoop的优势与缺陷、掌握云计算核心技术。</w:t>
            </w:r>
          </w:p>
        </w:tc>
        <w:tc>
          <w:tcPr>
            <w:tcW w:w="729" w:type="dxa"/>
            <w:vAlign w:val="center"/>
          </w:tcPr>
          <w:p w14:paraId="32AF46D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1CE9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195D3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5</w:t>
            </w:r>
          </w:p>
        </w:tc>
        <w:tc>
          <w:tcPr>
            <w:tcW w:w="1560" w:type="dxa"/>
            <w:vAlign w:val="center"/>
          </w:tcPr>
          <w:p w14:paraId="5B17F82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统计技术应用</w:t>
            </w:r>
          </w:p>
        </w:tc>
        <w:tc>
          <w:tcPr>
            <w:tcW w:w="5558" w:type="dxa"/>
          </w:tcPr>
          <w:p w14:paraId="144728DD">
            <w:pPr>
              <w:pStyle w:val="2"/>
              <w:snapToGrid w:val="0"/>
              <w:spacing w:line="336" w:lineRule="auto"/>
              <w:jc w:val="left"/>
              <w:rPr>
                <w:rFonts w:ascii="宋体" w:hAnsi="宋体" w:eastAsia="宋体"/>
                <w:szCs w:val="21"/>
              </w:rPr>
            </w:pPr>
            <w:r>
              <w:rPr>
                <w:rFonts w:hint="eastAsia" w:ascii="宋体" w:hAnsi="宋体" w:eastAsia="宋体"/>
                <w:szCs w:val="21"/>
              </w:rPr>
              <w:t>本课程旨在了解统计基本概念；掌握统计工作表的填写、编制；掌握常用统计技术的概念、分类、用途等，比如检查表、分层法、因果图、排列图、直方图、散布图、控制图等；了解与统计技术相关的标准和资料；掌握PDCA各阶段的适用技术；</w:t>
            </w:r>
          </w:p>
        </w:tc>
        <w:tc>
          <w:tcPr>
            <w:tcW w:w="729" w:type="dxa"/>
            <w:vAlign w:val="center"/>
          </w:tcPr>
          <w:p w14:paraId="56400E3F">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0D61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793A02">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6</w:t>
            </w:r>
          </w:p>
        </w:tc>
        <w:tc>
          <w:tcPr>
            <w:tcW w:w="1560" w:type="dxa"/>
            <w:vAlign w:val="center"/>
          </w:tcPr>
          <w:p w14:paraId="15CAB4B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财经文员事务</w:t>
            </w:r>
          </w:p>
        </w:tc>
        <w:tc>
          <w:tcPr>
            <w:tcW w:w="5558" w:type="dxa"/>
          </w:tcPr>
          <w:p w14:paraId="051EDF61">
            <w:pPr>
              <w:pStyle w:val="2"/>
              <w:snapToGrid w:val="0"/>
              <w:spacing w:line="336" w:lineRule="auto"/>
              <w:jc w:val="left"/>
              <w:rPr>
                <w:rFonts w:ascii="宋体" w:hAnsi="宋体" w:eastAsia="宋体"/>
                <w:szCs w:val="21"/>
              </w:rPr>
            </w:pPr>
            <w:r>
              <w:rPr>
                <w:rFonts w:hint="eastAsia" w:ascii="宋体" w:hAnsi="宋体" w:eastAsia="宋体"/>
                <w:szCs w:val="21"/>
              </w:rPr>
              <w:t>本课程学生主要学习包括商务沟通、办公设备及办公软件的使用、信息的收集与整理、办公事务、会务工作、商务旅行、档案管理、劳动合同管理、职工薪酬管理、纳税业务、商事变更登记与年度报告公示、拟写常用事务文书等内容，为学生进入社会奠定扎实基础。</w:t>
            </w:r>
          </w:p>
        </w:tc>
        <w:tc>
          <w:tcPr>
            <w:tcW w:w="729" w:type="dxa"/>
            <w:vAlign w:val="center"/>
          </w:tcPr>
          <w:p w14:paraId="1A8BC911">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6983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BC02F3">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w:t>
            </w:r>
          </w:p>
        </w:tc>
        <w:tc>
          <w:tcPr>
            <w:tcW w:w="1560" w:type="dxa"/>
            <w:vAlign w:val="center"/>
          </w:tcPr>
          <w:p w14:paraId="028486A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出纳实务</w:t>
            </w:r>
          </w:p>
        </w:tc>
        <w:tc>
          <w:tcPr>
            <w:tcW w:w="5558" w:type="dxa"/>
          </w:tcPr>
          <w:p w14:paraId="052FE830">
            <w:pPr>
              <w:pStyle w:val="2"/>
              <w:snapToGrid w:val="0"/>
              <w:spacing w:line="336" w:lineRule="auto"/>
              <w:jc w:val="left"/>
              <w:rPr>
                <w:rFonts w:ascii="宋体" w:hAnsi="宋体" w:eastAsia="宋体"/>
                <w:szCs w:val="21"/>
              </w:rPr>
            </w:pPr>
            <w:r>
              <w:rPr>
                <w:rFonts w:hint="eastAsia" w:ascii="宋体" w:hAnsi="宋体" w:eastAsia="宋体"/>
                <w:szCs w:val="21"/>
              </w:rPr>
              <w:t>本课程是会计专业学生必修的专业核心课程，系统地介绍了出纳人员必备的岗位技能知识、业务步骤和相关手续，具有较强的政策性、技能性和操作性，其功能是使学生掌握出纳业务的基本知识，具备处理出纳业务的基本技能和专业技能，养成出纳人员应有的职业素质；作为一门岗位课程，本课程为学生毕业后顺利上岗，以及未来职业生涯的发展起到很大帮助。</w:t>
            </w:r>
          </w:p>
        </w:tc>
        <w:tc>
          <w:tcPr>
            <w:tcW w:w="729" w:type="dxa"/>
            <w:vAlign w:val="center"/>
          </w:tcPr>
          <w:p w14:paraId="695B380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49AD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52B8B5">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8</w:t>
            </w:r>
          </w:p>
        </w:tc>
        <w:tc>
          <w:tcPr>
            <w:tcW w:w="1560" w:type="dxa"/>
            <w:vAlign w:val="center"/>
          </w:tcPr>
          <w:p w14:paraId="7C0BB11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成本会计</w:t>
            </w:r>
          </w:p>
        </w:tc>
        <w:tc>
          <w:tcPr>
            <w:tcW w:w="5558" w:type="dxa"/>
          </w:tcPr>
          <w:p w14:paraId="5B27521A">
            <w:pPr>
              <w:pStyle w:val="2"/>
              <w:snapToGrid w:val="0"/>
              <w:spacing w:line="336" w:lineRule="auto"/>
              <w:jc w:val="left"/>
              <w:rPr>
                <w:rFonts w:ascii="宋体" w:hAnsi="宋体" w:eastAsia="宋体"/>
                <w:szCs w:val="21"/>
              </w:rPr>
            </w:pPr>
            <w:r>
              <w:rPr>
                <w:rFonts w:hint="eastAsia" w:ascii="宋体" w:hAnsi="宋体" w:eastAsia="宋体"/>
                <w:szCs w:val="21"/>
              </w:rPr>
              <w:t>本课程旨在了解成本的概念、内涵；掌握成本会计的内容；掌握有成本与费用的区别，未耗成本与已耗成本，支出成本与机会成本等概念；掌握成本会计的具体任务与职能；掌握成本对象构成要素、成本分配的方法；掌握成本计算方法；掌握成本会计编制；掌握成本会计的基础工作。</w:t>
            </w:r>
          </w:p>
        </w:tc>
        <w:tc>
          <w:tcPr>
            <w:tcW w:w="729" w:type="dxa"/>
            <w:vAlign w:val="center"/>
          </w:tcPr>
          <w:p w14:paraId="15A26BB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7066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6975B8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9</w:t>
            </w:r>
          </w:p>
        </w:tc>
        <w:tc>
          <w:tcPr>
            <w:tcW w:w="1560" w:type="dxa"/>
            <w:vAlign w:val="center"/>
          </w:tcPr>
          <w:p w14:paraId="1AD2637A">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财务机器人应用</w:t>
            </w:r>
          </w:p>
        </w:tc>
        <w:tc>
          <w:tcPr>
            <w:tcW w:w="5558" w:type="dxa"/>
          </w:tcPr>
          <w:p w14:paraId="41BF4338">
            <w:pPr>
              <w:pStyle w:val="2"/>
              <w:snapToGrid w:val="0"/>
              <w:spacing w:line="336" w:lineRule="auto"/>
              <w:jc w:val="left"/>
              <w:rPr>
                <w:rFonts w:ascii="宋体" w:hAnsi="宋体" w:eastAsia="宋体"/>
                <w:szCs w:val="21"/>
              </w:rPr>
            </w:pPr>
            <w:r>
              <w:rPr>
                <w:rFonts w:hint="eastAsia" w:ascii="宋体" w:hAnsi="宋体" w:eastAsia="宋体"/>
                <w:szCs w:val="21"/>
              </w:rPr>
              <w:t>本课程旨在学生通过对财务机器人应用工作的了解，熟悉财务机器人RPA技术在财务领域的具体应用，财务机器人针对财务的业务内容和流程特点，以自动化替代财务手工操作，辅助财务人员完成交易量大、重复性高、易于标准化的基础业务；在财务机器人出现之前，财务工作进程的推进通过财务人员人工操作或信息系统自动化的方式。</w:t>
            </w:r>
          </w:p>
        </w:tc>
        <w:tc>
          <w:tcPr>
            <w:tcW w:w="729" w:type="dxa"/>
            <w:vAlign w:val="center"/>
          </w:tcPr>
          <w:p w14:paraId="022DA54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r w14:paraId="4F5A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224189">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10</w:t>
            </w:r>
          </w:p>
        </w:tc>
        <w:tc>
          <w:tcPr>
            <w:tcW w:w="1560" w:type="dxa"/>
            <w:vAlign w:val="center"/>
          </w:tcPr>
          <w:p w14:paraId="71134291">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企业购销存业务与管理</w:t>
            </w:r>
          </w:p>
        </w:tc>
        <w:tc>
          <w:tcPr>
            <w:tcW w:w="5558" w:type="dxa"/>
          </w:tcPr>
          <w:p w14:paraId="465A7602">
            <w:pPr>
              <w:pStyle w:val="2"/>
              <w:snapToGrid w:val="0"/>
              <w:spacing w:line="336" w:lineRule="auto"/>
              <w:jc w:val="left"/>
              <w:rPr>
                <w:rFonts w:ascii="宋体" w:hAnsi="宋体" w:eastAsia="宋体"/>
                <w:szCs w:val="21"/>
              </w:rPr>
            </w:pPr>
            <w:r>
              <w:rPr>
                <w:rFonts w:hint="eastAsia" w:ascii="宋体" w:hAnsi="宋体" w:eastAsia="宋体"/>
                <w:szCs w:val="21"/>
              </w:rPr>
              <w:t>本课程旨在介绍会计电算化理论，着重介绍当今主流财务软件的操作技能；注重实用电算技能的培养，从财务系统业务流程出发，来诠释计算机方式下会计岗位的职责与权限，使学生能学会各个会计岗位的操作方法和规范，从而实现理论与实践零距离。</w:t>
            </w:r>
          </w:p>
        </w:tc>
        <w:tc>
          <w:tcPr>
            <w:tcW w:w="729" w:type="dxa"/>
            <w:vAlign w:val="center"/>
          </w:tcPr>
          <w:p w14:paraId="5F76612E">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36</w:t>
            </w:r>
          </w:p>
        </w:tc>
      </w:tr>
    </w:tbl>
    <w:p w14:paraId="706F5FBC">
      <w:pPr>
        <w:spacing w:line="400" w:lineRule="exact"/>
        <w:ind w:firstLine="480" w:firstLineChars="200"/>
        <w:rPr>
          <w:rFonts w:ascii="仿宋_GB2312" w:hAnsi="黑体" w:eastAsia="仿宋_GB2312"/>
          <w:color w:val="FF0000"/>
          <w:sz w:val="24"/>
          <w:szCs w:val="24"/>
        </w:rPr>
      </w:pPr>
    </w:p>
    <w:p w14:paraId="179DD91D">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（4）实习实训</w:t>
      </w:r>
      <w:r>
        <w:rPr>
          <w:rFonts w:ascii="仿宋_GB2312" w:hAnsi="黑体" w:eastAsia="仿宋_GB2312"/>
          <w:sz w:val="24"/>
          <w:szCs w:val="24"/>
        </w:rPr>
        <w:t>环节</w:t>
      </w:r>
    </w:p>
    <w:tbl>
      <w:tblPr>
        <w:tblStyle w:val="43"/>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0"/>
        <w:gridCol w:w="1809"/>
        <w:gridCol w:w="4222"/>
        <w:gridCol w:w="974"/>
        <w:gridCol w:w="573"/>
        <w:gridCol w:w="464"/>
      </w:tblGrid>
      <w:tr w14:paraId="3481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shd w:val="clear" w:color="auto" w:fill="D7D7D7" w:themeFill="background1" w:themeFillShade="D8"/>
            <w:vAlign w:val="center"/>
          </w:tcPr>
          <w:p w14:paraId="5681A0BB">
            <w:pPr>
              <w:spacing w:line="560" w:lineRule="exact"/>
              <w:jc w:val="center"/>
              <w:rPr>
                <w:rFonts w:ascii="宋体" w:hAnsi="宋体" w:eastAsia="宋体" w:cs="Times New Roman"/>
                <w:b/>
                <w:bCs/>
                <w:color w:val="000000"/>
                <w:szCs w:val="21"/>
              </w:rPr>
            </w:pPr>
            <w:r>
              <w:rPr>
                <w:rFonts w:ascii="宋体" w:hAnsi="宋体" w:eastAsia="宋体" w:cs="Times New Roman"/>
                <w:b/>
                <w:bCs/>
                <w:color w:val="000000"/>
                <w:szCs w:val="21"/>
              </w:rPr>
              <w:t>序号</w:t>
            </w:r>
          </w:p>
        </w:tc>
        <w:tc>
          <w:tcPr>
            <w:tcW w:w="1809" w:type="dxa"/>
            <w:shd w:val="clear" w:color="auto" w:fill="D7D7D7" w:themeFill="background1" w:themeFillShade="D8"/>
            <w:vAlign w:val="center"/>
          </w:tcPr>
          <w:p w14:paraId="66D0DC4E">
            <w:pPr>
              <w:spacing w:line="56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实习实训项目</w:t>
            </w:r>
          </w:p>
        </w:tc>
        <w:tc>
          <w:tcPr>
            <w:tcW w:w="4222" w:type="dxa"/>
            <w:shd w:val="clear" w:color="auto" w:fill="D7D7D7" w:themeFill="background1" w:themeFillShade="D8"/>
            <w:vAlign w:val="center"/>
          </w:tcPr>
          <w:p w14:paraId="4A3F6789">
            <w:pPr>
              <w:spacing w:line="56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达到标准</w:t>
            </w:r>
          </w:p>
        </w:tc>
        <w:tc>
          <w:tcPr>
            <w:tcW w:w="974" w:type="dxa"/>
            <w:shd w:val="clear" w:color="auto" w:fill="D7D7D7" w:themeFill="background1" w:themeFillShade="D8"/>
            <w:vAlign w:val="center"/>
          </w:tcPr>
          <w:p w14:paraId="6C6251A3">
            <w:pPr>
              <w:spacing w:line="44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实习实训地点</w:t>
            </w:r>
          </w:p>
        </w:tc>
        <w:tc>
          <w:tcPr>
            <w:tcW w:w="573" w:type="dxa"/>
            <w:shd w:val="clear" w:color="auto" w:fill="D7D7D7" w:themeFill="background1" w:themeFillShade="D8"/>
            <w:vAlign w:val="center"/>
          </w:tcPr>
          <w:p w14:paraId="659D5D19">
            <w:pPr>
              <w:spacing w:line="44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开设学期</w:t>
            </w:r>
          </w:p>
        </w:tc>
        <w:tc>
          <w:tcPr>
            <w:tcW w:w="464" w:type="dxa"/>
            <w:shd w:val="clear" w:color="auto" w:fill="D7D7D7" w:themeFill="background1" w:themeFillShade="D8"/>
            <w:vAlign w:val="center"/>
          </w:tcPr>
          <w:p w14:paraId="161DF3A2">
            <w:pPr>
              <w:spacing w:line="440" w:lineRule="exact"/>
              <w:jc w:val="center"/>
              <w:rPr>
                <w:rFonts w:ascii="宋体" w:hAnsi="宋体" w:eastAsia="宋体" w:cs="Times New Roman"/>
                <w:b/>
                <w:bCs/>
                <w:color w:val="000000"/>
                <w:szCs w:val="21"/>
              </w:rPr>
            </w:pPr>
            <w:r>
              <w:rPr>
                <w:rFonts w:hint="eastAsia" w:ascii="宋体" w:hAnsi="宋体" w:eastAsia="宋体" w:cs="Times New Roman"/>
                <w:b/>
                <w:bCs/>
                <w:color w:val="000000"/>
                <w:szCs w:val="21"/>
              </w:rPr>
              <w:t>参考学时</w:t>
            </w:r>
          </w:p>
        </w:tc>
      </w:tr>
      <w:tr w14:paraId="47D6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vAlign w:val="center"/>
          </w:tcPr>
          <w:p w14:paraId="540ECE66">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w:t>
            </w:r>
          </w:p>
        </w:tc>
        <w:tc>
          <w:tcPr>
            <w:tcW w:w="1809" w:type="dxa"/>
            <w:vAlign w:val="center"/>
          </w:tcPr>
          <w:p w14:paraId="1CA713A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会计手工综合实训</w:t>
            </w:r>
          </w:p>
        </w:tc>
        <w:tc>
          <w:tcPr>
            <w:tcW w:w="4222" w:type="dxa"/>
            <w:vAlign w:val="center"/>
          </w:tcPr>
          <w:p w14:paraId="28563E9E">
            <w:pPr>
              <w:pStyle w:val="2"/>
              <w:snapToGrid w:val="0"/>
              <w:spacing w:line="336" w:lineRule="auto"/>
              <w:jc w:val="left"/>
              <w:rPr>
                <w:rFonts w:ascii="宋体" w:hAnsi="宋体" w:eastAsia="宋体"/>
                <w:szCs w:val="21"/>
              </w:rPr>
            </w:pPr>
            <w:r>
              <w:rPr>
                <w:rFonts w:ascii="宋体" w:hAnsi="宋体" w:eastAsia="宋体"/>
                <w:szCs w:val="21"/>
              </w:rPr>
              <w:t>利用典型企业的实际业务资料，在学校专门设立的模拟实训室中，对学生进行会计核算原理和方法的验证性实训及专业综合实训。这种实训方式使学生能够熟练掌握填制原始凭证、建账、编制记账凭证、登记账簿、编制会计报表等业务技能。通过实际操作能力的训练，为学生顺利找到合适的工作和走向工作岗位奠定坚实的基础。</w:t>
            </w:r>
          </w:p>
        </w:tc>
        <w:tc>
          <w:tcPr>
            <w:tcW w:w="974" w:type="dxa"/>
            <w:vAlign w:val="center"/>
          </w:tcPr>
          <w:p w14:paraId="5A0FA5D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会计综合实训室</w:t>
            </w:r>
          </w:p>
        </w:tc>
        <w:tc>
          <w:tcPr>
            <w:tcW w:w="573" w:type="dxa"/>
            <w:vAlign w:val="center"/>
          </w:tcPr>
          <w:p w14:paraId="1E239AB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5</w:t>
            </w:r>
          </w:p>
        </w:tc>
        <w:tc>
          <w:tcPr>
            <w:tcW w:w="464" w:type="dxa"/>
            <w:vAlign w:val="center"/>
          </w:tcPr>
          <w:p w14:paraId="74A920F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72</w:t>
            </w:r>
          </w:p>
        </w:tc>
      </w:tr>
      <w:tr w14:paraId="4750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vAlign w:val="center"/>
          </w:tcPr>
          <w:p w14:paraId="6A7C1FF8">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2</w:t>
            </w:r>
          </w:p>
        </w:tc>
        <w:tc>
          <w:tcPr>
            <w:tcW w:w="1809" w:type="dxa"/>
            <w:vAlign w:val="center"/>
          </w:tcPr>
          <w:p w14:paraId="2BE3FAF1">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会计电算化综合实训</w:t>
            </w:r>
          </w:p>
        </w:tc>
        <w:tc>
          <w:tcPr>
            <w:tcW w:w="4222" w:type="dxa"/>
            <w:vAlign w:val="center"/>
          </w:tcPr>
          <w:p w14:paraId="413D988C">
            <w:pPr>
              <w:pStyle w:val="2"/>
              <w:snapToGrid w:val="0"/>
              <w:spacing w:line="336" w:lineRule="auto"/>
              <w:jc w:val="left"/>
              <w:rPr>
                <w:rFonts w:ascii="宋体" w:hAnsi="宋体" w:eastAsia="宋体"/>
                <w:szCs w:val="21"/>
              </w:rPr>
            </w:pPr>
            <w:r>
              <w:rPr>
                <w:rFonts w:hint="eastAsia" w:ascii="宋体" w:hAnsi="宋体" w:eastAsia="宋体"/>
                <w:szCs w:val="21"/>
              </w:rPr>
              <w:t>会计电算化实训是会计专业学生进行电子会计专业技能实践、掌握软件应用、为未来会计工作做好充分准备的重要课程之一。旨在培养会计专业学生的电算化技术和思维能力，提高其计算机应用实践能力和创新意识为将来的会计工作做好充分准备。希望学生能够全面加强会计信息化知识，具有责任感，正确认识财务工作，实训要求时效性与实用性兼具。</w:t>
            </w:r>
          </w:p>
        </w:tc>
        <w:tc>
          <w:tcPr>
            <w:tcW w:w="974" w:type="dxa"/>
            <w:vAlign w:val="center"/>
          </w:tcPr>
          <w:p w14:paraId="1133A6FF">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润正楼202、301机房</w:t>
            </w:r>
          </w:p>
        </w:tc>
        <w:tc>
          <w:tcPr>
            <w:tcW w:w="573" w:type="dxa"/>
            <w:vAlign w:val="center"/>
          </w:tcPr>
          <w:p w14:paraId="7B45921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5</w:t>
            </w:r>
          </w:p>
        </w:tc>
        <w:tc>
          <w:tcPr>
            <w:tcW w:w="464" w:type="dxa"/>
            <w:vAlign w:val="center"/>
          </w:tcPr>
          <w:p w14:paraId="26649A1D">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108</w:t>
            </w:r>
          </w:p>
        </w:tc>
      </w:tr>
      <w:tr w14:paraId="0C62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shd w:val="clear" w:color="auto" w:fill="D7D7D7" w:themeFill="background1" w:themeFillShade="D8"/>
            <w:vAlign w:val="center"/>
          </w:tcPr>
          <w:p w14:paraId="326BD70B">
            <w:pPr>
              <w:spacing w:line="560" w:lineRule="exact"/>
              <w:jc w:val="center"/>
              <w:rPr>
                <w:rFonts w:hint="eastAsia" w:ascii="宋体" w:hAnsi="宋体" w:eastAsia="宋体"/>
                <w:b/>
                <w:bCs/>
                <w:szCs w:val="21"/>
              </w:rPr>
            </w:pPr>
            <w:r>
              <w:rPr>
                <w:rFonts w:ascii="宋体" w:hAnsi="宋体" w:eastAsia="宋体" w:cs="Times New Roman"/>
                <w:b/>
                <w:bCs/>
                <w:color w:val="000000"/>
                <w:szCs w:val="21"/>
              </w:rPr>
              <w:t>序号</w:t>
            </w:r>
          </w:p>
        </w:tc>
        <w:tc>
          <w:tcPr>
            <w:tcW w:w="1809" w:type="dxa"/>
            <w:shd w:val="clear" w:color="auto" w:fill="D7D7D7" w:themeFill="background1" w:themeFillShade="D8"/>
            <w:vAlign w:val="center"/>
          </w:tcPr>
          <w:p w14:paraId="19929033">
            <w:pPr>
              <w:spacing w:line="560" w:lineRule="exact"/>
              <w:jc w:val="center"/>
              <w:rPr>
                <w:rFonts w:hint="eastAsia" w:ascii="宋体" w:hAnsi="宋体" w:eastAsia="宋体"/>
                <w:b/>
                <w:bCs/>
                <w:szCs w:val="21"/>
              </w:rPr>
            </w:pPr>
            <w:r>
              <w:rPr>
                <w:rFonts w:hint="eastAsia" w:ascii="宋体" w:hAnsi="宋体" w:eastAsia="宋体" w:cs="Times New Roman"/>
                <w:b/>
                <w:bCs/>
                <w:color w:val="000000"/>
                <w:szCs w:val="21"/>
              </w:rPr>
              <w:t>实习实训项目</w:t>
            </w:r>
          </w:p>
        </w:tc>
        <w:tc>
          <w:tcPr>
            <w:tcW w:w="4222" w:type="dxa"/>
            <w:shd w:val="clear" w:color="auto" w:fill="D7D7D7" w:themeFill="background1" w:themeFillShade="D8"/>
            <w:vAlign w:val="center"/>
          </w:tcPr>
          <w:p w14:paraId="707739C2">
            <w:pPr>
              <w:spacing w:line="560" w:lineRule="exact"/>
              <w:jc w:val="center"/>
              <w:rPr>
                <w:rFonts w:hint="eastAsia" w:ascii="宋体" w:hAnsi="宋体" w:eastAsia="宋体"/>
                <w:b/>
                <w:bCs/>
                <w:szCs w:val="21"/>
              </w:rPr>
            </w:pPr>
            <w:r>
              <w:rPr>
                <w:rFonts w:hint="eastAsia" w:ascii="宋体" w:hAnsi="宋体" w:eastAsia="宋体" w:cs="Times New Roman"/>
                <w:b/>
                <w:bCs/>
                <w:color w:val="000000"/>
                <w:szCs w:val="21"/>
              </w:rPr>
              <w:t>达到标准</w:t>
            </w:r>
          </w:p>
        </w:tc>
        <w:tc>
          <w:tcPr>
            <w:tcW w:w="974" w:type="dxa"/>
            <w:shd w:val="clear" w:color="auto" w:fill="D7D7D7" w:themeFill="background1" w:themeFillShade="D8"/>
            <w:vAlign w:val="center"/>
          </w:tcPr>
          <w:p w14:paraId="688FEC7B">
            <w:pPr>
              <w:spacing w:line="440" w:lineRule="exact"/>
              <w:jc w:val="center"/>
              <w:rPr>
                <w:rFonts w:hint="eastAsia" w:asciiTheme="minorEastAsia" w:hAnsiTheme="minorEastAsia"/>
                <w:b/>
                <w:bCs/>
                <w:szCs w:val="21"/>
              </w:rPr>
            </w:pPr>
            <w:r>
              <w:rPr>
                <w:rFonts w:hint="eastAsia" w:ascii="宋体" w:hAnsi="宋体" w:eastAsia="宋体" w:cs="Times New Roman"/>
                <w:b/>
                <w:bCs/>
                <w:color w:val="000000"/>
                <w:szCs w:val="21"/>
              </w:rPr>
              <w:t>实习实训地点</w:t>
            </w:r>
          </w:p>
        </w:tc>
        <w:tc>
          <w:tcPr>
            <w:tcW w:w="573" w:type="dxa"/>
            <w:shd w:val="clear" w:color="auto" w:fill="D7D7D7" w:themeFill="background1" w:themeFillShade="D8"/>
            <w:vAlign w:val="center"/>
          </w:tcPr>
          <w:p w14:paraId="17ABE221">
            <w:pPr>
              <w:spacing w:line="440" w:lineRule="exact"/>
              <w:jc w:val="center"/>
              <w:rPr>
                <w:rFonts w:hint="eastAsia" w:asciiTheme="minorEastAsia" w:hAnsiTheme="minorEastAsia"/>
                <w:b/>
                <w:bCs/>
                <w:szCs w:val="21"/>
              </w:rPr>
            </w:pPr>
            <w:r>
              <w:rPr>
                <w:rFonts w:hint="eastAsia" w:ascii="宋体" w:hAnsi="宋体" w:eastAsia="宋体" w:cs="Times New Roman"/>
                <w:b/>
                <w:bCs/>
                <w:color w:val="000000"/>
                <w:szCs w:val="21"/>
              </w:rPr>
              <w:t>开设学期</w:t>
            </w:r>
          </w:p>
        </w:tc>
        <w:tc>
          <w:tcPr>
            <w:tcW w:w="464" w:type="dxa"/>
            <w:shd w:val="clear" w:color="auto" w:fill="D7D7D7" w:themeFill="background1" w:themeFillShade="D8"/>
            <w:vAlign w:val="center"/>
          </w:tcPr>
          <w:p w14:paraId="0D5789D6">
            <w:pPr>
              <w:spacing w:line="440" w:lineRule="exact"/>
              <w:jc w:val="center"/>
              <w:rPr>
                <w:rFonts w:hint="eastAsia" w:asciiTheme="minorEastAsia" w:hAnsiTheme="minorEastAsia"/>
                <w:b/>
                <w:bCs/>
                <w:szCs w:val="21"/>
              </w:rPr>
            </w:pPr>
            <w:r>
              <w:rPr>
                <w:rFonts w:hint="eastAsia" w:ascii="宋体" w:hAnsi="宋体" w:eastAsia="宋体" w:cs="Times New Roman"/>
                <w:b/>
                <w:bCs/>
                <w:color w:val="000000"/>
                <w:szCs w:val="21"/>
              </w:rPr>
              <w:t>参考学时</w:t>
            </w:r>
          </w:p>
        </w:tc>
      </w:tr>
      <w:tr w14:paraId="2B44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vAlign w:val="center"/>
          </w:tcPr>
          <w:p w14:paraId="15B00C47">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3</w:t>
            </w:r>
          </w:p>
        </w:tc>
        <w:tc>
          <w:tcPr>
            <w:tcW w:w="1809" w:type="dxa"/>
            <w:vAlign w:val="center"/>
          </w:tcPr>
          <w:p w14:paraId="10B0A41C">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出纳岗位综合实训</w:t>
            </w:r>
          </w:p>
        </w:tc>
        <w:tc>
          <w:tcPr>
            <w:tcW w:w="4222" w:type="dxa"/>
            <w:vAlign w:val="center"/>
          </w:tcPr>
          <w:p w14:paraId="226E3520">
            <w:pPr>
              <w:pStyle w:val="2"/>
              <w:snapToGrid w:val="0"/>
              <w:spacing w:line="336" w:lineRule="auto"/>
              <w:jc w:val="left"/>
              <w:rPr>
                <w:rFonts w:ascii="宋体" w:hAnsi="宋体" w:eastAsia="宋体"/>
                <w:szCs w:val="21"/>
              </w:rPr>
            </w:pPr>
            <w:r>
              <w:rPr>
                <w:rFonts w:hint="eastAsia" w:ascii="宋体" w:hAnsi="宋体" w:eastAsia="宋体"/>
                <w:szCs w:val="21"/>
              </w:rPr>
              <w:t>本实训旨在帮助学生全面了解和掌握出纳岗位的相关业务知识和技能，培养学生在实际工作中熟练处理财务事务的能力。通过实践操作，提升学生的实际作能力，为学生就业打下坚实的基础。</w:t>
            </w:r>
          </w:p>
        </w:tc>
        <w:tc>
          <w:tcPr>
            <w:tcW w:w="974" w:type="dxa"/>
            <w:vAlign w:val="center"/>
          </w:tcPr>
          <w:p w14:paraId="7151E96A">
            <w:pPr>
              <w:spacing w:line="400" w:lineRule="exact"/>
              <w:jc w:val="center"/>
              <w:rPr>
                <w:rFonts w:asciiTheme="minorEastAsia" w:hAnsiTheme="minorEastAsia"/>
                <w:szCs w:val="21"/>
              </w:rPr>
            </w:pPr>
            <w:r>
              <w:rPr>
                <w:rFonts w:hint="eastAsia" w:asciiTheme="minorEastAsia" w:hAnsiTheme="minorEastAsia"/>
                <w:szCs w:val="21"/>
              </w:rPr>
              <w:t>会计综合实训室</w:t>
            </w:r>
          </w:p>
        </w:tc>
        <w:tc>
          <w:tcPr>
            <w:tcW w:w="573" w:type="dxa"/>
            <w:vAlign w:val="center"/>
          </w:tcPr>
          <w:p w14:paraId="1AF29907">
            <w:pPr>
              <w:spacing w:line="320" w:lineRule="exact"/>
              <w:jc w:val="center"/>
              <w:rPr>
                <w:rFonts w:asciiTheme="minorEastAsia" w:hAnsiTheme="minorEastAsia"/>
                <w:szCs w:val="21"/>
              </w:rPr>
            </w:pPr>
            <w:r>
              <w:rPr>
                <w:rFonts w:hint="eastAsia" w:asciiTheme="minorEastAsia" w:hAnsiTheme="minorEastAsia"/>
                <w:szCs w:val="21"/>
              </w:rPr>
              <w:t>5</w:t>
            </w:r>
          </w:p>
        </w:tc>
        <w:tc>
          <w:tcPr>
            <w:tcW w:w="464" w:type="dxa"/>
            <w:vAlign w:val="center"/>
          </w:tcPr>
          <w:p w14:paraId="3CF96112">
            <w:pPr>
              <w:spacing w:line="320" w:lineRule="exact"/>
              <w:jc w:val="center"/>
              <w:rPr>
                <w:rFonts w:asciiTheme="minorEastAsia" w:hAnsiTheme="minorEastAsia"/>
                <w:szCs w:val="21"/>
              </w:rPr>
            </w:pPr>
            <w:r>
              <w:rPr>
                <w:rFonts w:hint="eastAsia" w:asciiTheme="minorEastAsia" w:hAnsiTheme="minorEastAsia"/>
                <w:szCs w:val="21"/>
              </w:rPr>
              <w:t>144</w:t>
            </w:r>
          </w:p>
        </w:tc>
      </w:tr>
      <w:tr w14:paraId="6BDE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10" w:type="dxa"/>
            <w:vAlign w:val="center"/>
          </w:tcPr>
          <w:p w14:paraId="503C5870">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4</w:t>
            </w:r>
          </w:p>
        </w:tc>
        <w:tc>
          <w:tcPr>
            <w:tcW w:w="1809" w:type="dxa"/>
            <w:vAlign w:val="center"/>
          </w:tcPr>
          <w:p w14:paraId="482B0BFB">
            <w:pPr>
              <w:pStyle w:val="2"/>
              <w:snapToGrid w:val="0"/>
              <w:spacing w:line="336" w:lineRule="auto"/>
              <w:ind w:firstLine="0" w:firstLineChars="0"/>
              <w:jc w:val="center"/>
              <w:rPr>
                <w:rFonts w:ascii="宋体" w:hAnsi="宋体" w:eastAsia="宋体"/>
                <w:szCs w:val="21"/>
              </w:rPr>
            </w:pPr>
            <w:r>
              <w:rPr>
                <w:rFonts w:hint="eastAsia" w:ascii="宋体" w:hAnsi="宋体" w:eastAsia="宋体"/>
                <w:szCs w:val="21"/>
              </w:rPr>
              <w:t>纳税申报综合实训</w:t>
            </w:r>
          </w:p>
        </w:tc>
        <w:tc>
          <w:tcPr>
            <w:tcW w:w="4222" w:type="dxa"/>
            <w:vAlign w:val="center"/>
          </w:tcPr>
          <w:p w14:paraId="3C9079B5">
            <w:pPr>
              <w:pStyle w:val="2"/>
              <w:snapToGrid w:val="0"/>
              <w:spacing w:line="336" w:lineRule="auto"/>
              <w:jc w:val="left"/>
              <w:rPr>
                <w:rFonts w:ascii="宋体" w:hAnsi="宋体" w:eastAsia="宋体"/>
                <w:szCs w:val="21"/>
              </w:rPr>
            </w:pPr>
            <w:r>
              <w:rPr>
                <w:rFonts w:hint="eastAsia" w:ascii="宋体" w:hAnsi="宋体" w:eastAsia="宋体"/>
                <w:szCs w:val="21"/>
              </w:rPr>
              <w:t>通过实训，使学生了解税务登记与纳税申报各个环节，验证税收及税收管理法律制度，使其提前了解会计工作的范围，达到人才培养目标的专业能力，以及提高其对会计工作的胜任能力。</w:t>
            </w:r>
          </w:p>
        </w:tc>
        <w:tc>
          <w:tcPr>
            <w:tcW w:w="974" w:type="dxa"/>
            <w:vAlign w:val="center"/>
          </w:tcPr>
          <w:p w14:paraId="33DBB809">
            <w:pPr>
              <w:spacing w:line="400" w:lineRule="exact"/>
              <w:jc w:val="center"/>
              <w:rPr>
                <w:rFonts w:asciiTheme="minorEastAsia" w:hAnsiTheme="minorEastAsia"/>
                <w:szCs w:val="21"/>
              </w:rPr>
            </w:pPr>
            <w:r>
              <w:rPr>
                <w:rFonts w:hint="eastAsia" w:asciiTheme="minorEastAsia" w:hAnsiTheme="minorEastAsia"/>
                <w:szCs w:val="21"/>
              </w:rPr>
              <w:t>润正楼202、301机房</w:t>
            </w:r>
          </w:p>
        </w:tc>
        <w:tc>
          <w:tcPr>
            <w:tcW w:w="573" w:type="dxa"/>
            <w:vAlign w:val="center"/>
          </w:tcPr>
          <w:p w14:paraId="09F6B2CA">
            <w:pPr>
              <w:spacing w:line="320" w:lineRule="exact"/>
              <w:jc w:val="center"/>
              <w:rPr>
                <w:rFonts w:asciiTheme="minorEastAsia" w:hAnsiTheme="minorEastAsia"/>
                <w:szCs w:val="21"/>
              </w:rPr>
            </w:pPr>
            <w:r>
              <w:rPr>
                <w:rFonts w:hint="eastAsia" w:asciiTheme="minorEastAsia" w:hAnsiTheme="minorEastAsia"/>
                <w:szCs w:val="21"/>
              </w:rPr>
              <w:t>5</w:t>
            </w:r>
          </w:p>
        </w:tc>
        <w:tc>
          <w:tcPr>
            <w:tcW w:w="464" w:type="dxa"/>
            <w:vAlign w:val="center"/>
          </w:tcPr>
          <w:p w14:paraId="248BD805">
            <w:pPr>
              <w:spacing w:line="320" w:lineRule="exact"/>
              <w:jc w:val="center"/>
              <w:rPr>
                <w:rFonts w:asciiTheme="minorEastAsia" w:hAnsiTheme="minorEastAsia"/>
                <w:szCs w:val="21"/>
              </w:rPr>
            </w:pPr>
            <w:r>
              <w:rPr>
                <w:rFonts w:hint="eastAsia" w:asciiTheme="minorEastAsia" w:hAnsiTheme="minorEastAsia"/>
                <w:szCs w:val="21"/>
              </w:rPr>
              <w:t>180</w:t>
            </w:r>
          </w:p>
        </w:tc>
      </w:tr>
    </w:tbl>
    <w:p w14:paraId="727CE08E">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主要包括实训、实习、实验、毕业设计、社会实践等。在校内外进行会计电子票据处理、智能纳税申报等综合实训。在会计行业的财税代理服务机构进行财税咨询和代理事务办理等综合实训。实训实习既是实践性教学，也是专业课教学的重要内容，应注重理论与实践一体化教学。应严格执行《职业学校学生实习管理规定》和《会计事务专业专业岗位实习标准》要求。</w:t>
      </w:r>
    </w:p>
    <w:p w14:paraId="1E7638BF">
      <w:pPr>
        <w:spacing w:line="400" w:lineRule="exact"/>
        <w:ind w:firstLine="480" w:firstLineChars="200"/>
        <w:rPr>
          <w:rFonts w:ascii="仿宋_GB2312" w:hAnsi="黑体" w:eastAsia="仿宋_GB2312"/>
          <w:sz w:val="24"/>
          <w:szCs w:val="24"/>
        </w:rPr>
      </w:pPr>
      <w:r>
        <w:rPr>
          <w:rFonts w:hint="eastAsia" w:ascii="仿宋_GB2312" w:hAnsi="黑体" w:eastAsia="仿宋_GB2312"/>
          <w:sz w:val="24"/>
          <w:szCs w:val="24"/>
        </w:rPr>
        <w:t>3</w:t>
      </w:r>
      <w:r>
        <w:rPr>
          <w:rFonts w:ascii="仿宋_GB2312" w:hAnsi="黑体" w:eastAsia="仿宋_GB2312"/>
          <w:sz w:val="24"/>
          <w:szCs w:val="24"/>
        </w:rPr>
        <w:t>.教学相关要求</w:t>
      </w:r>
    </w:p>
    <w:p w14:paraId="28AF9C11">
      <w:pPr>
        <w:pStyle w:val="40"/>
        <w:spacing w:after="0" w:line="400" w:lineRule="exact"/>
        <w:ind w:firstLine="240"/>
        <w:rPr>
          <w:rFonts w:ascii="仿宋_GB2312" w:hAnsi="黑体" w:cstheme="minorBidi"/>
          <w:sz w:val="24"/>
          <w:szCs w:val="24"/>
        </w:rPr>
      </w:pPr>
      <w:r>
        <w:rPr>
          <w:rFonts w:hint="eastAsia" w:ascii="仿宋_GB2312" w:hAnsi="黑体" w:cstheme="minorBidi"/>
          <w:sz w:val="24"/>
          <w:szCs w:val="24"/>
        </w:rPr>
        <w:t>（1）落实课程思政，构建“三全育人”机制。提高站位，以知促行，推进全员、全过程、全方位育人工作的政治自觉、思想自觉和行动自觉。结合本专业人才培养特点和专业能力素质要求，梳理每一门课程蕴含的思想政治教育元素，发挥专业课程承载的思想政治教育功能，创新思政课程教学模式，推动“思政课程”与“课程思政”教学紧密结合，同向同行。</w:t>
      </w:r>
    </w:p>
    <w:p w14:paraId="447284E4">
      <w:pPr>
        <w:pStyle w:val="40"/>
        <w:spacing w:after="0" w:line="400" w:lineRule="exact"/>
        <w:ind w:firstLine="240"/>
        <w:rPr>
          <w:rFonts w:ascii="仿宋_GB2312" w:hAnsi="黑体" w:cstheme="minorBidi"/>
          <w:sz w:val="24"/>
          <w:szCs w:val="24"/>
        </w:rPr>
      </w:pPr>
      <w:r>
        <w:rPr>
          <w:rFonts w:hint="eastAsia" w:ascii="仿宋_GB2312" w:hAnsi="黑体" w:cstheme="minorBidi"/>
          <w:sz w:val="24"/>
          <w:szCs w:val="24"/>
        </w:rPr>
        <w:t>（2）推进新一代信息技术与绿色环保教育有机融合。适应“互联网+职业教育”新要求，积极建设智能化教学支持环境，组织专业教师积极打造“省级精品课程”，结合节能减排、绿色环保意识融入到专业课程教学和有关实践性（如：实训室5S管理等）教学环节中，建设能满足多样化需求的课程资源，利用信息技术的交流功能，服务学生终身学习。</w:t>
      </w:r>
    </w:p>
    <w:p w14:paraId="506E2526">
      <w:pPr>
        <w:pStyle w:val="40"/>
        <w:spacing w:after="0" w:line="400" w:lineRule="exact"/>
        <w:ind w:firstLine="240"/>
        <w:rPr>
          <w:rFonts w:ascii="仿宋_GB2312" w:hAnsi="黑体" w:cstheme="minorBidi"/>
          <w:sz w:val="24"/>
          <w:szCs w:val="24"/>
        </w:rPr>
      </w:pPr>
      <w:r>
        <w:rPr>
          <w:rFonts w:hint="eastAsia" w:ascii="仿宋_GB2312" w:hAnsi="黑体" w:cstheme="minorBidi"/>
          <w:sz w:val="24"/>
          <w:szCs w:val="24"/>
        </w:rPr>
        <w:t>（3）推动书证融通与德育实践活动相结合。会计事务专业每学年均落实“1+X证书制度”考核工作，将职业技能等级标准有关内容及要求有机融入到本专业的课程教学中，积极组织开展志愿服务活动以及其他实践活动，优化专业人才培养方案。</w:t>
      </w:r>
    </w:p>
    <w:p w14:paraId="3CAD2C89">
      <w:pPr>
        <w:pStyle w:val="40"/>
        <w:ind w:firstLine="0" w:firstLineChars="0"/>
        <w:rPr>
          <w:rFonts w:ascii="仿宋" w:hAnsi="仿宋" w:eastAsia="仿宋" w:cs="仿宋"/>
          <w:szCs w:val="21"/>
          <w:shd w:val="clear" w:color="auto" w:fill="FFFF00"/>
        </w:rPr>
      </w:pPr>
    </w:p>
    <w:p w14:paraId="34DFA57C">
      <w:pPr>
        <w:pStyle w:val="40"/>
        <w:ind w:firstLine="0" w:firstLineChars="0"/>
        <w:rPr>
          <w:rFonts w:ascii="仿宋" w:hAnsi="仿宋" w:eastAsia="仿宋" w:cs="仿宋"/>
          <w:szCs w:val="21"/>
          <w:shd w:val="clear" w:color="auto" w:fill="FFFF00"/>
        </w:rPr>
      </w:pPr>
    </w:p>
    <w:p w14:paraId="2AFB1F8C">
      <w:pPr>
        <w:pStyle w:val="40"/>
        <w:ind w:firstLine="0" w:firstLineChars="0"/>
        <w:rPr>
          <w:rFonts w:ascii="仿宋" w:hAnsi="仿宋" w:eastAsia="仿宋" w:cs="仿宋"/>
          <w:szCs w:val="21"/>
          <w:shd w:val="clear" w:color="auto" w:fill="FFFF00"/>
        </w:rPr>
      </w:pPr>
    </w:p>
    <w:p w14:paraId="3C4DC8D8">
      <w:pPr>
        <w:pStyle w:val="3"/>
        <w:snapToGrid w:val="0"/>
        <w:spacing w:before="156" w:beforeLines="50" w:after="0" w:line="400" w:lineRule="exact"/>
        <w:ind w:firstLine="480" w:firstLineChars="200"/>
        <w:jc w:val="both"/>
        <w:rPr>
          <w:rFonts w:ascii="黑体" w:hAnsi="Times New Roman"/>
          <w:sz w:val="24"/>
          <w:szCs w:val="21"/>
        </w:rPr>
      </w:pPr>
      <w:bookmarkStart w:id="23" w:name="_Toc18519"/>
      <w:bookmarkStart w:id="24" w:name="_Toc530755379"/>
      <w:r>
        <w:rPr>
          <w:rFonts w:hint="eastAsia" w:ascii="黑体" w:hAnsi="Times New Roman"/>
          <w:sz w:val="24"/>
          <w:szCs w:val="21"/>
        </w:rPr>
        <w:t>八、</w:t>
      </w:r>
      <w:r>
        <w:rPr>
          <w:rFonts w:ascii="黑体" w:hAnsi="Times New Roman"/>
          <w:sz w:val="24"/>
          <w:szCs w:val="21"/>
        </w:rPr>
        <w:t>教学进程</w:t>
      </w:r>
      <w:r>
        <w:rPr>
          <w:rFonts w:hint="eastAsia" w:ascii="黑体" w:hAnsi="Times New Roman"/>
          <w:sz w:val="24"/>
          <w:szCs w:val="21"/>
        </w:rPr>
        <w:t>总体</w:t>
      </w:r>
      <w:r>
        <w:rPr>
          <w:rFonts w:ascii="黑体" w:hAnsi="Times New Roman"/>
          <w:sz w:val="24"/>
          <w:szCs w:val="21"/>
        </w:rPr>
        <w:t>安排</w:t>
      </w:r>
      <w:bookmarkEnd w:id="23"/>
      <w:bookmarkEnd w:id="24"/>
    </w:p>
    <w:p w14:paraId="7EADB13D">
      <w:pPr>
        <w:spacing w:line="360" w:lineRule="auto"/>
        <w:ind w:firstLine="420" w:firstLineChars="200"/>
        <w:outlineLvl w:val="1"/>
        <w:rPr>
          <w:rFonts w:ascii="楷体" w:hAnsi="楷体" w:eastAsia="楷体"/>
          <w:sz w:val="24"/>
          <w:szCs w:val="24"/>
        </w:rPr>
      </w:pPr>
      <w:bookmarkStart w:id="25" w:name="_Toc22852"/>
      <w:bookmarkStart w:id="26" w:name="_Toc498209938"/>
      <w:bookmarkStart w:id="27" w:name="_Toc530755380"/>
      <w:r>
        <w:rPr>
          <w:rFonts w:hint="eastAsia" w:ascii="楷体" w:hAnsi="楷体" w:eastAsia="楷体"/>
          <w:szCs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292100</wp:posOffset>
                </wp:positionV>
                <wp:extent cx="704850" cy="733425"/>
                <wp:effectExtent l="0" t="0" r="19050" b="28575"/>
                <wp:wrapNone/>
                <wp:docPr id="2" name="任意多边形 2"/>
                <wp:cNvGraphicFramePr/>
                <a:graphic xmlns:a="http://schemas.openxmlformats.org/drawingml/2006/main">
                  <a:graphicData uri="http://schemas.microsoft.com/office/word/2010/wordprocessingShape">
                    <wps:wsp>
                      <wps:cNvSpPr/>
                      <wps:spPr bwMode="auto">
                        <a:xfrm>
                          <a:off x="0" y="0"/>
                          <a:ext cx="704850" cy="733425"/>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8pt;margin-top:23pt;height:57.75pt;width:55.5pt;z-index:251660288;mso-width-relative:page;mso-height-relative:page;" filled="f" stroked="t" coordsize="1116,1122" o:gfxdata="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oQaYk9YAAAAJAQAADwAAAAAAAAAB&#10;ACAAAAAiAAAAZHJzL2Rvd25yZXYueG1sUEsBAhQAFAAAAAgAh07iQL6s/xe9AgAA1AUAAA4AAAAA&#10;AAAAAQAgAAAAJQEAAGRycy9lMm9Eb2MueG1sUEsFBgAAAAAGAAYAWQEAAFQGAAAAAA==&#10;" path="m0,0l1116,1122e">
                <v:path o:connectlocs="0,0;704850,733425" o:connectangles="0,0"/>
                <v:fill on="f" focussize="0,0"/>
                <v:stroke color="#000000" joinstyle="round"/>
                <v:imagedata o:title=""/>
                <o:lock v:ext="edit" aspectratio="f"/>
              </v:shape>
            </w:pict>
          </mc:Fallback>
        </mc:AlternateContent>
      </w:r>
      <w:r>
        <w:rPr>
          <w:rFonts w:hint="eastAsia" w:ascii="楷体" w:hAnsi="楷体" w:eastAsia="楷体"/>
          <w:sz w:val="24"/>
          <w:szCs w:val="24"/>
        </w:rPr>
        <w:t>（一）教学时间安排</w:t>
      </w:r>
      <w:bookmarkEnd w:id="25"/>
      <w:bookmarkEnd w:id="26"/>
      <w:bookmarkEnd w:id="27"/>
    </w:p>
    <w:tbl>
      <w:tblPr>
        <w:tblStyle w:val="42"/>
        <w:tblW w:w="91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3320"/>
        <w:gridCol w:w="1377"/>
        <w:gridCol w:w="837"/>
        <w:gridCol w:w="837"/>
        <w:gridCol w:w="835"/>
      </w:tblGrid>
      <w:tr w14:paraId="7EC96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3" w:hRule="atLeast"/>
          <w:jc w:val="center"/>
        </w:trPr>
        <w:tc>
          <w:tcPr>
            <w:tcW w:w="1048" w:type="pct"/>
            <w:shd w:val="clear" w:color="auto" w:fill="D7D7D7" w:themeFill="background1" w:themeFillShade="D8"/>
            <w:vAlign w:val="center"/>
          </w:tcPr>
          <w:p w14:paraId="27460B7A">
            <w:pPr>
              <w:ind w:firstLine="1160" w:firstLineChars="550"/>
              <w:rPr>
                <w:rFonts w:ascii="宋体" w:hAnsi="宋体"/>
                <w:b/>
                <w:szCs w:val="21"/>
              </w:rPr>
            </w:pPr>
            <w:r>
              <w:rPr>
                <w:rFonts w:hint="eastAsia" w:ascii="宋体" w:hAnsi="宋体"/>
                <w:b/>
                <w:szCs w:val="21"/>
              </w:rPr>
              <w:t>内容</w:t>
            </w:r>
          </w:p>
          <w:p w14:paraId="6EDB5B8A">
            <w:pPr>
              <w:ind w:firstLine="527" w:firstLineChars="250"/>
              <w:rPr>
                <w:rFonts w:ascii="宋体" w:hAnsi="宋体"/>
                <w:b/>
                <w:szCs w:val="21"/>
              </w:rPr>
            </w:pPr>
            <w:r>
              <w:rPr>
                <w:rFonts w:hint="eastAsia" w:ascii="宋体" w:hAnsi="宋体"/>
                <w:b/>
                <w:szCs w:val="21"/>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45085</wp:posOffset>
                      </wp:positionV>
                      <wp:extent cx="1171575" cy="457200"/>
                      <wp:effectExtent l="0" t="0" r="28575" b="19050"/>
                      <wp:wrapNone/>
                      <wp:docPr id="3" name="任意多边形 3"/>
                      <wp:cNvGraphicFramePr/>
                      <a:graphic xmlns:a="http://schemas.openxmlformats.org/drawingml/2006/main">
                        <a:graphicData uri="http://schemas.microsoft.com/office/word/2010/wordprocessingShape">
                          <wps:wsp>
                            <wps:cNvSpPr/>
                            <wps:spPr bwMode="auto">
                              <a:xfrm>
                                <a:off x="0" y="0"/>
                                <a:ext cx="1171575" cy="457200"/>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65pt;margin-top:3.55pt;height:36pt;width:92.25pt;z-index:251661312;mso-width-relative:page;mso-height-relative:page;" filled="f" stroked="t" coordsize="1899,673" o:gfxdata="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8GjnNUAAAAIAQAADwAAAAAAAAAB&#10;ACAAAAAiAAAAZHJzL2Rvd25yZXYueG1sUEsBAhQAFAAAAAgAh07iQNWfsOm+AgAA0AUAAA4AAAAA&#10;AAAAAQAgAAAAJAEAAGRycy9lMm9Eb2MueG1sUEsFBgAAAAAGAAYAWQEAAFQGAAAAAA==&#10;" path="m0,0l1899,673e">
                      <v:path o:connectlocs="0,0;1171575,457200" o:connectangles="0,0"/>
                      <v:fill on="f" focussize="0,0"/>
                      <v:stroke color="#000000" joinstyle="round"/>
                      <v:imagedata o:title=""/>
                      <o:lock v:ext="edit" aspectratio="f"/>
                    </v:shape>
                  </w:pict>
                </mc:Fallback>
              </mc:AlternateContent>
            </w:r>
            <w:r>
              <w:rPr>
                <w:rFonts w:hint="eastAsia" w:ascii="宋体" w:hAnsi="宋体"/>
                <w:b/>
                <w:szCs w:val="21"/>
              </w:rPr>
              <w:t>周数</w:t>
            </w:r>
          </w:p>
          <w:p w14:paraId="63A473BA">
            <w:pPr>
              <w:rPr>
                <w:rFonts w:ascii="宋体" w:hAnsi="宋体"/>
                <w:b/>
                <w:szCs w:val="21"/>
              </w:rPr>
            </w:pPr>
            <w:r>
              <w:rPr>
                <w:rFonts w:hint="eastAsia" w:ascii="宋体" w:hAnsi="宋体"/>
                <w:b/>
                <w:szCs w:val="21"/>
              </w:rPr>
              <w:t>学年</w:t>
            </w:r>
          </w:p>
        </w:tc>
        <w:tc>
          <w:tcPr>
            <w:tcW w:w="1821" w:type="pct"/>
            <w:shd w:val="clear" w:color="auto" w:fill="D7D7D7" w:themeFill="background1" w:themeFillShade="D8"/>
            <w:vAlign w:val="center"/>
          </w:tcPr>
          <w:p w14:paraId="6F37D775">
            <w:pPr>
              <w:jc w:val="center"/>
              <w:rPr>
                <w:rFonts w:ascii="宋体" w:hAnsi="宋体"/>
                <w:b/>
                <w:szCs w:val="21"/>
              </w:rPr>
            </w:pPr>
            <w:r>
              <w:rPr>
                <w:rFonts w:hint="eastAsia" w:ascii="宋体" w:hAnsi="宋体"/>
                <w:b/>
                <w:szCs w:val="21"/>
              </w:rPr>
              <w:t>教学（含理实一体教学</w:t>
            </w:r>
          </w:p>
          <w:p w14:paraId="5B991673">
            <w:pPr>
              <w:jc w:val="center"/>
              <w:rPr>
                <w:rFonts w:ascii="宋体" w:hAnsi="宋体"/>
                <w:b/>
                <w:szCs w:val="21"/>
              </w:rPr>
            </w:pPr>
            <w:r>
              <w:rPr>
                <w:rFonts w:hint="eastAsia" w:ascii="宋体" w:hAnsi="宋体"/>
                <w:b/>
                <w:szCs w:val="21"/>
              </w:rPr>
              <w:t>及专门化集中实训）</w:t>
            </w:r>
          </w:p>
        </w:tc>
        <w:tc>
          <w:tcPr>
            <w:tcW w:w="755" w:type="pct"/>
            <w:shd w:val="clear" w:color="auto" w:fill="D7D7D7" w:themeFill="background1" w:themeFillShade="D8"/>
            <w:vAlign w:val="center"/>
          </w:tcPr>
          <w:p w14:paraId="5EB4305A">
            <w:pPr>
              <w:jc w:val="center"/>
              <w:rPr>
                <w:rFonts w:ascii="宋体" w:hAnsi="宋体"/>
                <w:b/>
                <w:szCs w:val="21"/>
              </w:rPr>
            </w:pPr>
            <w:r>
              <w:rPr>
                <w:rFonts w:hint="eastAsia" w:ascii="宋体" w:hAnsi="宋体"/>
                <w:b/>
                <w:szCs w:val="21"/>
              </w:rPr>
              <w:t>复习</w:t>
            </w:r>
          </w:p>
          <w:p w14:paraId="52B30546">
            <w:pPr>
              <w:jc w:val="center"/>
              <w:rPr>
                <w:rFonts w:ascii="宋体" w:hAnsi="宋体"/>
                <w:b/>
                <w:szCs w:val="21"/>
              </w:rPr>
            </w:pPr>
            <w:r>
              <w:rPr>
                <w:rFonts w:hint="eastAsia" w:ascii="宋体" w:hAnsi="宋体"/>
                <w:b/>
                <w:szCs w:val="21"/>
              </w:rPr>
              <w:t>考试</w:t>
            </w:r>
          </w:p>
        </w:tc>
        <w:tc>
          <w:tcPr>
            <w:tcW w:w="459" w:type="pct"/>
            <w:shd w:val="clear" w:color="auto" w:fill="D7D7D7" w:themeFill="background1" w:themeFillShade="D8"/>
            <w:vAlign w:val="center"/>
          </w:tcPr>
          <w:p w14:paraId="0F698B13">
            <w:pPr>
              <w:jc w:val="center"/>
              <w:rPr>
                <w:rFonts w:ascii="宋体" w:hAnsi="宋体"/>
                <w:b/>
                <w:szCs w:val="21"/>
              </w:rPr>
            </w:pPr>
            <w:r>
              <w:rPr>
                <w:rFonts w:hint="eastAsia" w:ascii="宋体" w:hAnsi="宋体"/>
                <w:b/>
                <w:szCs w:val="21"/>
              </w:rPr>
              <w:t>机动</w:t>
            </w:r>
          </w:p>
        </w:tc>
        <w:tc>
          <w:tcPr>
            <w:tcW w:w="459" w:type="pct"/>
            <w:shd w:val="clear" w:color="auto" w:fill="D7D7D7" w:themeFill="background1" w:themeFillShade="D8"/>
            <w:vAlign w:val="center"/>
          </w:tcPr>
          <w:p w14:paraId="48CD763C">
            <w:pPr>
              <w:jc w:val="center"/>
              <w:rPr>
                <w:rFonts w:ascii="宋体" w:hAnsi="宋体"/>
                <w:b/>
                <w:szCs w:val="21"/>
              </w:rPr>
            </w:pPr>
            <w:r>
              <w:rPr>
                <w:rFonts w:hint="eastAsia" w:ascii="宋体" w:hAnsi="宋体"/>
                <w:b/>
                <w:szCs w:val="21"/>
              </w:rPr>
              <w:t>假期</w:t>
            </w:r>
          </w:p>
        </w:tc>
        <w:tc>
          <w:tcPr>
            <w:tcW w:w="458" w:type="pct"/>
            <w:shd w:val="clear" w:color="auto" w:fill="D7D7D7" w:themeFill="background1" w:themeFillShade="D8"/>
            <w:vAlign w:val="center"/>
          </w:tcPr>
          <w:p w14:paraId="38568F5E">
            <w:pPr>
              <w:jc w:val="center"/>
              <w:rPr>
                <w:rFonts w:ascii="宋体" w:hAnsi="宋体"/>
                <w:b/>
                <w:szCs w:val="21"/>
              </w:rPr>
            </w:pPr>
            <w:r>
              <w:rPr>
                <w:rFonts w:hint="eastAsia" w:ascii="宋体" w:hAnsi="宋体"/>
                <w:b/>
                <w:szCs w:val="21"/>
              </w:rPr>
              <w:t>全年</w:t>
            </w:r>
          </w:p>
          <w:p w14:paraId="0BCFFB7F">
            <w:pPr>
              <w:jc w:val="center"/>
              <w:rPr>
                <w:rFonts w:ascii="宋体" w:hAnsi="宋体"/>
                <w:b/>
                <w:szCs w:val="21"/>
              </w:rPr>
            </w:pPr>
            <w:r>
              <w:rPr>
                <w:rFonts w:hint="eastAsia" w:ascii="宋体" w:hAnsi="宋体"/>
                <w:b/>
                <w:szCs w:val="21"/>
              </w:rPr>
              <w:t>周数</w:t>
            </w:r>
          </w:p>
        </w:tc>
      </w:tr>
      <w:tr w14:paraId="4D6A2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048" w:type="pct"/>
            <w:vAlign w:val="center"/>
          </w:tcPr>
          <w:p w14:paraId="29CBFDE4">
            <w:pPr>
              <w:jc w:val="center"/>
              <w:rPr>
                <w:rFonts w:ascii="宋体" w:hAnsi="宋体"/>
                <w:szCs w:val="21"/>
              </w:rPr>
            </w:pPr>
            <w:r>
              <w:rPr>
                <w:rFonts w:hint="eastAsia" w:ascii="宋体" w:hAnsi="宋体"/>
                <w:szCs w:val="21"/>
              </w:rPr>
              <w:t>一</w:t>
            </w:r>
          </w:p>
        </w:tc>
        <w:tc>
          <w:tcPr>
            <w:tcW w:w="1821" w:type="pct"/>
            <w:vAlign w:val="center"/>
          </w:tcPr>
          <w:p w14:paraId="3B2E86DC">
            <w:pPr>
              <w:jc w:val="center"/>
              <w:rPr>
                <w:rFonts w:ascii="宋体" w:hAnsi="宋体"/>
                <w:szCs w:val="21"/>
              </w:rPr>
            </w:pPr>
            <w:r>
              <w:rPr>
                <w:rFonts w:hint="eastAsia" w:ascii="宋体" w:hAnsi="宋体"/>
                <w:szCs w:val="21"/>
              </w:rPr>
              <w:t>3</w:t>
            </w:r>
            <w:r>
              <w:rPr>
                <w:rFonts w:ascii="宋体" w:hAnsi="宋体"/>
                <w:szCs w:val="21"/>
              </w:rPr>
              <w:t>6</w:t>
            </w:r>
          </w:p>
        </w:tc>
        <w:tc>
          <w:tcPr>
            <w:tcW w:w="755" w:type="pct"/>
            <w:vAlign w:val="center"/>
          </w:tcPr>
          <w:p w14:paraId="7487855A">
            <w:pPr>
              <w:jc w:val="center"/>
              <w:rPr>
                <w:rFonts w:ascii="宋体" w:hAnsi="宋体"/>
                <w:szCs w:val="21"/>
              </w:rPr>
            </w:pPr>
            <w:r>
              <w:rPr>
                <w:rFonts w:hint="eastAsia" w:ascii="宋体" w:hAnsi="宋体"/>
                <w:szCs w:val="21"/>
              </w:rPr>
              <w:t>2</w:t>
            </w:r>
          </w:p>
        </w:tc>
        <w:tc>
          <w:tcPr>
            <w:tcW w:w="459" w:type="pct"/>
            <w:vAlign w:val="center"/>
          </w:tcPr>
          <w:p w14:paraId="37B52F9B">
            <w:pPr>
              <w:jc w:val="center"/>
              <w:rPr>
                <w:rFonts w:ascii="宋体" w:hAnsi="宋体"/>
                <w:szCs w:val="21"/>
              </w:rPr>
            </w:pPr>
            <w:r>
              <w:rPr>
                <w:rFonts w:ascii="宋体" w:hAnsi="宋体"/>
                <w:szCs w:val="21"/>
              </w:rPr>
              <w:t>2</w:t>
            </w:r>
          </w:p>
        </w:tc>
        <w:tc>
          <w:tcPr>
            <w:tcW w:w="459" w:type="pct"/>
            <w:vAlign w:val="center"/>
          </w:tcPr>
          <w:p w14:paraId="126434F8">
            <w:pPr>
              <w:jc w:val="center"/>
              <w:rPr>
                <w:rFonts w:ascii="宋体" w:hAnsi="宋体"/>
                <w:szCs w:val="21"/>
              </w:rPr>
            </w:pPr>
            <w:r>
              <w:rPr>
                <w:rFonts w:hint="eastAsia" w:ascii="宋体" w:hAnsi="宋体"/>
                <w:szCs w:val="21"/>
              </w:rPr>
              <w:t>12</w:t>
            </w:r>
          </w:p>
        </w:tc>
        <w:tc>
          <w:tcPr>
            <w:tcW w:w="458" w:type="pct"/>
            <w:vAlign w:val="center"/>
          </w:tcPr>
          <w:p w14:paraId="46540134">
            <w:pPr>
              <w:jc w:val="center"/>
              <w:rPr>
                <w:rFonts w:ascii="宋体" w:hAnsi="宋体"/>
                <w:szCs w:val="21"/>
              </w:rPr>
            </w:pPr>
            <w:r>
              <w:rPr>
                <w:rFonts w:hint="eastAsia" w:ascii="宋体" w:hAnsi="宋体"/>
                <w:szCs w:val="21"/>
              </w:rPr>
              <w:t>52</w:t>
            </w:r>
          </w:p>
        </w:tc>
      </w:tr>
      <w:tr w14:paraId="62728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1048" w:type="pct"/>
            <w:vAlign w:val="center"/>
          </w:tcPr>
          <w:p w14:paraId="230CFBB2">
            <w:pPr>
              <w:jc w:val="center"/>
              <w:rPr>
                <w:rFonts w:ascii="宋体" w:hAnsi="宋体"/>
                <w:szCs w:val="21"/>
              </w:rPr>
            </w:pPr>
            <w:r>
              <w:rPr>
                <w:rFonts w:hint="eastAsia" w:ascii="宋体" w:hAnsi="宋体"/>
                <w:szCs w:val="21"/>
              </w:rPr>
              <w:t>二</w:t>
            </w:r>
          </w:p>
        </w:tc>
        <w:tc>
          <w:tcPr>
            <w:tcW w:w="1821" w:type="pct"/>
            <w:vAlign w:val="center"/>
          </w:tcPr>
          <w:p w14:paraId="598BB09F">
            <w:pPr>
              <w:jc w:val="center"/>
              <w:rPr>
                <w:rFonts w:ascii="宋体" w:hAnsi="宋体"/>
                <w:szCs w:val="21"/>
              </w:rPr>
            </w:pPr>
            <w:r>
              <w:rPr>
                <w:rFonts w:hint="eastAsia" w:ascii="宋体" w:hAnsi="宋体"/>
                <w:szCs w:val="21"/>
              </w:rPr>
              <w:t>36</w:t>
            </w:r>
          </w:p>
        </w:tc>
        <w:tc>
          <w:tcPr>
            <w:tcW w:w="755" w:type="pct"/>
            <w:vAlign w:val="center"/>
          </w:tcPr>
          <w:p w14:paraId="5EEAC6BF">
            <w:pPr>
              <w:jc w:val="center"/>
              <w:rPr>
                <w:rFonts w:ascii="宋体" w:hAnsi="宋体"/>
                <w:szCs w:val="21"/>
              </w:rPr>
            </w:pPr>
            <w:r>
              <w:rPr>
                <w:rFonts w:hint="eastAsia" w:ascii="宋体" w:hAnsi="宋体"/>
                <w:szCs w:val="21"/>
              </w:rPr>
              <w:t>2</w:t>
            </w:r>
          </w:p>
        </w:tc>
        <w:tc>
          <w:tcPr>
            <w:tcW w:w="459" w:type="pct"/>
            <w:vAlign w:val="center"/>
          </w:tcPr>
          <w:p w14:paraId="16319391">
            <w:pPr>
              <w:jc w:val="center"/>
              <w:rPr>
                <w:rFonts w:ascii="宋体" w:hAnsi="宋体"/>
                <w:szCs w:val="21"/>
              </w:rPr>
            </w:pPr>
            <w:r>
              <w:rPr>
                <w:rFonts w:hint="eastAsia" w:ascii="宋体" w:hAnsi="宋体"/>
                <w:szCs w:val="21"/>
              </w:rPr>
              <w:t>2</w:t>
            </w:r>
          </w:p>
        </w:tc>
        <w:tc>
          <w:tcPr>
            <w:tcW w:w="459" w:type="pct"/>
            <w:vAlign w:val="center"/>
          </w:tcPr>
          <w:p w14:paraId="1AB39F63">
            <w:pPr>
              <w:jc w:val="center"/>
              <w:rPr>
                <w:rFonts w:ascii="宋体" w:hAnsi="宋体"/>
                <w:szCs w:val="21"/>
              </w:rPr>
            </w:pPr>
            <w:r>
              <w:rPr>
                <w:rFonts w:hint="eastAsia" w:ascii="宋体" w:hAnsi="宋体"/>
                <w:szCs w:val="21"/>
              </w:rPr>
              <w:t>12</w:t>
            </w:r>
          </w:p>
        </w:tc>
        <w:tc>
          <w:tcPr>
            <w:tcW w:w="458" w:type="pct"/>
            <w:vAlign w:val="center"/>
          </w:tcPr>
          <w:p w14:paraId="13F6D02F">
            <w:pPr>
              <w:jc w:val="center"/>
              <w:rPr>
                <w:rFonts w:ascii="宋体" w:hAnsi="宋体"/>
                <w:szCs w:val="21"/>
              </w:rPr>
            </w:pPr>
            <w:r>
              <w:rPr>
                <w:rFonts w:hint="eastAsia" w:ascii="宋体" w:hAnsi="宋体"/>
                <w:szCs w:val="21"/>
              </w:rPr>
              <w:t>52</w:t>
            </w:r>
          </w:p>
        </w:tc>
      </w:tr>
      <w:tr w14:paraId="14CB9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48" w:type="pct"/>
            <w:vAlign w:val="center"/>
          </w:tcPr>
          <w:p w14:paraId="423AC4BC">
            <w:pPr>
              <w:jc w:val="center"/>
              <w:rPr>
                <w:rFonts w:ascii="宋体" w:hAnsi="宋体"/>
                <w:szCs w:val="21"/>
              </w:rPr>
            </w:pPr>
            <w:r>
              <w:rPr>
                <w:rFonts w:hint="eastAsia" w:ascii="宋体" w:hAnsi="宋体"/>
                <w:szCs w:val="21"/>
              </w:rPr>
              <w:t>三</w:t>
            </w:r>
          </w:p>
        </w:tc>
        <w:tc>
          <w:tcPr>
            <w:tcW w:w="1821" w:type="pct"/>
            <w:vAlign w:val="center"/>
          </w:tcPr>
          <w:p w14:paraId="769C0BC0">
            <w:pPr>
              <w:jc w:val="center"/>
              <w:rPr>
                <w:rFonts w:ascii="宋体" w:hAnsi="宋体"/>
                <w:szCs w:val="21"/>
              </w:rPr>
            </w:pPr>
            <w:r>
              <w:rPr>
                <w:rFonts w:hint="eastAsia" w:ascii="宋体" w:hAnsi="宋体"/>
                <w:szCs w:val="21"/>
              </w:rPr>
              <w:t>38</w:t>
            </w:r>
          </w:p>
        </w:tc>
        <w:tc>
          <w:tcPr>
            <w:tcW w:w="755" w:type="pct"/>
            <w:vAlign w:val="center"/>
          </w:tcPr>
          <w:p w14:paraId="4BE5206D">
            <w:pPr>
              <w:jc w:val="center"/>
              <w:rPr>
                <w:rFonts w:ascii="宋体" w:hAnsi="宋体"/>
                <w:szCs w:val="21"/>
              </w:rPr>
            </w:pPr>
            <w:r>
              <w:rPr>
                <w:rFonts w:hint="eastAsia" w:ascii="宋体" w:hAnsi="宋体"/>
                <w:szCs w:val="21"/>
              </w:rPr>
              <w:t>1</w:t>
            </w:r>
          </w:p>
        </w:tc>
        <w:tc>
          <w:tcPr>
            <w:tcW w:w="459" w:type="pct"/>
            <w:vAlign w:val="center"/>
          </w:tcPr>
          <w:p w14:paraId="743F4F03">
            <w:pPr>
              <w:jc w:val="center"/>
              <w:rPr>
                <w:rFonts w:ascii="宋体" w:hAnsi="宋体"/>
                <w:szCs w:val="21"/>
              </w:rPr>
            </w:pPr>
            <w:r>
              <w:rPr>
                <w:rFonts w:hint="eastAsia" w:ascii="宋体" w:hAnsi="宋体"/>
                <w:szCs w:val="21"/>
              </w:rPr>
              <w:t>1</w:t>
            </w:r>
          </w:p>
        </w:tc>
        <w:tc>
          <w:tcPr>
            <w:tcW w:w="459" w:type="pct"/>
            <w:vAlign w:val="center"/>
          </w:tcPr>
          <w:p w14:paraId="76DB7201">
            <w:pPr>
              <w:jc w:val="center"/>
              <w:rPr>
                <w:rFonts w:ascii="宋体" w:hAnsi="宋体"/>
                <w:szCs w:val="21"/>
              </w:rPr>
            </w:pPr>
            <w:r>
              <w:rPr>
                <w:rFonts w:hint="eastAsia" w:ascii="宋体" w:hAnsi="宋体"/>
                <w:szCs w:val="21"/>
              </w:rPr>
              <w:t>5</w:t>
            </w:r>
          </w:p>
        </w:tc>
        <w:tc>
          <w:tcPr>
            <w:tcW w:w="458" w:type="pct"/>
            <w:vAlign w:val="center"/>
          </w:tcPr>
          <w:p w14:paraId="5DAA724B">
            <w:pPr>
              <w:jc w:val="center"/>
              <w:rPr>
                <w:rFonts w:ascii="宋体" w:hAnsi="宋体"/>
                <w:szCs w:val="21"/>
              </w:rPr>
            </w:pPr>
            <w:r>
              <w:rPr>
                <w:rFonts w:hint="eastAsia" w:ascii="宋体" w:hAnsi="宋体"/>
                <w:szCs w:val="21"/>
              </w:rPr>
              <w:t>45</w:t>
            </w:r>
          </w:p>
        </w:tc>
      </w:tr>
    </w:tbl>
    <w:p w14:paraId="319D2479">
      <w:pPr>
        <w:spacing w:line="360" w:lineRule="auto"/>
        <w:ind w:firstLine="480" w:firstLineChars="200"/>
        <w:jc w:val="left"/>
        <w:rPr>
          <w:rFonts w:ascii="楷体" w:hAnsi="楷体" w:eastAsia="楷体"/>
          <w:sz w:val="24"/>
          <w:szCs w:val="24"/>
        </w:rPr>
      </w:pPr>
      <w:bookmarkStart w:id="28" w:name="_Toc530755381"/>
    </w:p>
    <w:p w14:paraId="4FA19370">
      <w:pPr>
        <w:widowControl/>
        <w:jc w:val="left"/>
        <w:rPr>
          <w:rFonts w:ascii="楷体" w:hAnsi="楷体" w:eastAsia="楷体"/>
          <w:sz w:val="24"/>
          <w:szCs w:val="24"/>
        </w:rPr>
      </w:pPr>
      <w:r>
        <w:rPr>
          <w:rFonts w:ascii="楷体" w:hAnsi="楷体" w:eastAsia="楷体"/>
          <w:sz w:val="24"/>
          <w:szCs w:val="24"/>
        </w:rPr>
        <w:br w:type="page"/>
      </w:r>
    </w:p>
    <w:p w14:paraId="4041A597">
      <w:pPr>
        <w:spacing w:line="360" w:lineRule="auto"/>
        <w:ind w:firstLine="480" w:firstLineChars="200"/>
        <w:outlineLvl w:val="1"/>
        <w:rPr>
          <w:rFonts w:ascii="楷体" w:hAnsi="楷体" w:eastAsia="楷体"/>
          <w:sz w:val="24"/>
          <w:szCs w:val="24"/>
        </w:rPr>
      </w:pPr>
      <w:bookmarkStart w:id="29" w:name="_Toc9872"/>
      <w:bookmarkStart w:id="184" w:name="_GoBack"/>
      <w:bookmarkEnd w:id="184"/>
      <w:r>
        <w:rPr>
          <w:rFonts w:hint="eastAsia" w:ascii="楷体" w:hAnsi="楷体" w:eastAsia="楷体"/>
          <w:sz w:val="24"/>
          <w:szCs w:val="24"/>
        </w:rPr>
        <w:t>（二）教学进程总体安排表</w:t>
      </w:r>
      <w:bookmarkEnd w:id="28"/>
      <w:bookmarkEnd w:id="29"/>
    </w:p>
    <w:tbl>
      <w:tblPr>
        <w:tblStyle w:val="42"/>
        <w:tblW w:w="10084" w:type="dxa"/>
        <w:jc w:val="center"/>
        <w:tblLayout w:type="fixed"/>
        <w:tblCellMar>
          <w:top w:w="0" w:type="dxa"/>
          <w:left w:w="108" w:type="dxa"/>
          <w:bottom w:w="0" w:type="dxa"/>
          <w:right w:w="108" w:type="dxa"/>
        </w:tblCellMar>
      </w:tblPr>
      <w:tblGrid>
        <w:gridCol w:w="463"/>
        <w:gridCol w:w="426"/>
        <w:gridCol w:w="1134"/>
        <w:gridCol w:w="6"/>
        <w:gridCol w:w="1853"/>
        <w:gridCol w:w="731"/>
        <w:gridCol w:w="613"/>
        <w:gridCol w:w="705"/>
        <w:gridCol w:w="487"/>
        <w:gridCol w:w="651"/>
        <w:gridCol w:w="624"/>
        <w:gridCol w:w="709"/>
        <w:gridCol w:w="567"/>
        <w:gridCol w:w="567"/>
        <w:gridCol w:w="548"/>
      </w:tblGrid>
      <w:tr w14:paraId="4CA3D4D6">
        <w:tblPrEx>
          <w:tblCellMar>
            <w:top w:w="0" w:type="dxa"/>
            <w:left w:w="108" w:type="dxa"/>
            <w:bottom w:w="0" w:type="dxa"/>
            <w:right w:w="108" w:type="dxa"/>
          </w:tblCellMar>
        </w:tblPrEx>
        <w:trPr>
          <w:trHeight w:val="271" w:hRule="atLeast"/>
          <w:tblHeader/>
          <w:jc w:val="center"/>
        </w:trPr>
        <w:tc>
          <w:tcPr>
            <w:tcW w:w="889" w:type="dxa"/>
            <w:gridSpan w:val="2"/>
            <w:vMerge w:val="restart"/>
            <w:tcBorders>
              <w:top w:val="single" w:color="auto" w:sz="4" w:space="0"/>
              <w:left w:val="single" w:color="auto" w:sz="4" w:space="0"/>
              <w:bottom w:val="single" w:color="000000" w:sz="4" w:space="0"/>
              <w:right w:val="single" w:color="000000" w:sz="4" w:space="0"/>
            </w:tcBorders>
            <w:shd w:val="clear" w:color="auto" w:fill="D7D7D7" w:themeFill="background1" w:themeFillShade="D8"/>
            <w:vAlign w:val="center"/>
          </w:tcPr>
          <w:p w14:paraId="43762D5B">
            <w:pPr>
              <w:widowControl/>
              <w:jc w:val="center"/>
              <w:rPr>
                <w:rFonts w:ascii="宋体" w:hAnsi="宋体" w:eastAsia="宋体" w:cs="宋体"/>
                <w:b/>
                <w:kern w:val="0"/>
                <w:sz w:val="18"/>
                <w:szCs w:val="18"/>
              </w:rPr>
            </w:pPr>
            <w:r>
              <w:rPr>
                <w:rFonts w:hint="eastAsia" w:ascii="宋体" w:hAnsi="宋体" w:eastAsia="宋体" w:cs="宋体"/>
                <w:b/>
                <w:kern w:val="0"/>
                <w:sz w:val="18"/>
                <w:szCs w:val="18"/>
              </w:rPr>
              <w:t>课程</w:t>
            </w:r>
          </w:p>
          <w:p w14:paraId="474ED3E9">
            <w:pPr>
              <w:widowControl/>
              <w:jc w:val="center"/>
              <w:rPr>
                <w:rFonts w:ascii="宋体" w:hAnsi="宋体" w:eastAsia="宋体" w:cs="宋体"/>
                <w:b/>
                <w:kern w:val="0"/>
                <w:sz w:val="18"/>
                <w:szCs w:val="18"/>
              </w:rPr>
            </w:pPr>
            <w:r>
              <w:rPr>
                <w:rFonts w:hint="eastAsia" w:ascii="宋体" w:hAnsi="宋体" w:eastAsia="宋体" w:cs="宋体"/>
                <w:b/>
                <w:kern w:val="0"/>
                <w:sz w:val="18"/>
                <w:szCs w:val="18"/>
              </w:rPr>
              <w:t>类别</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4DCB50D">
            <w:pPr>
              <w:widowControl/>
              <w:jc w:val="center"/>
              <w:rPr>
                <w:rFonts w:ascii="宋体" w:hAnsi="宋体" w:eastAsia="宋体" w:cs="宋体"/>
                <w:b/>
                <w:kern w:val="0"/>
                <w:sz w:val="18"/>
                <w:szCs w:val="18"/>
              </w:rPr>
            </w:pPr>
            <w:r>
              <w:rPr>
                <w:rFonts w:hint="eastAsia" w:ascii="宋体" w:hAnsi="宋体" w:eastAsia="宋体" w:cs="宋体"/>
                <w:b/>
                <w:kern w:val="0"/>
                <w:sz w:val="18"/>
                <w:szCs w:val="18"/>
              </w:rPr>
              <w:t>课程代码</w:t>
            </w:r>
          </w:p>
        </w:tc>
        <w:tc>
          <w:tcPr>
            <w:tcW w:w="1859" w:type="dxa"/>
            <w:gridSpan w:val="2"/>
            <w:vMerge w:val="restar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5AEDBFA">
            <w:pPr>
              <w:widowControl/>
              <w:jc w:val="center"/>
              <w:rPr>
                <w:rFonts w:ascii="宋体" w:hAnsi="宋体" w:eastAsia="宋体" w:cs="宋体"/>
                <w:b/>
                <w:kern w:val="0"/>
                <w:sz w:val="18"/>
                <w:szCs w:val="18"/>
              </w:rPr>
            </w:pPr>
            <w:r>
              <w:rPr>
                <w:rFonts w:hint="eastAsia" w:ascii="宋体" w:hAnsi="宋体" w:eastAsia="宋体" w:cs="宋体"/>
                <w:b/>
                <w:kern w:val="0"/>
                <w:sz w:val="18"/>
                <w:szCs w:val="18"/>
              </w:rPr>
              <w:t>课程名称</w:t>
            </w:r>
          </w:p>
        </w:tc>
        <w:tc>
          <w:tcPr>
            <w:tcW w:w="731" w:type="dxa"/>
            <w:vMerge w:val="restart"/>
            <w:tcBorders>
              <w:top w:val="single" w:color="auto" w:sz="4" w:space="0"/>
              <w:left w:val="single" w:color="auto" w:sz="4" w:space="0"/>
              <w:bottom w:val="single" w:color="auto" w:sz="4" w:space="0"/>
              <w:right w:val="single" w:color="auto" w:sz="4" w:space="0"/>
            </w:tcBorders>
            <w:shd w:val="clear" w:color="auto" w:fill="D7D7D7" w:themeFill="background1" w:themeFillShade="D8"/>
            <w:textDirection w:val="tbRlV"/>
            <w:vAlign w:val="center"/>
          </w:tcPr>
          <w:p w14:paraId="6CF38AAE">
            <w:pPr>
              <w:widowControl/>
              <w:jc w:val="center"/>
              <w:rPr>
                <w:rFonts w:ascii="宋体" w:hAnsi="宋体" w:eastAsia="宋体" w:cs="宋体"/>
                <w:b/>
                <w:kern w:val="0"/>
                <w:sz w:val="18"/>
                <w:szCs w:val="18"/>
              </w:rPr>
            </w:pPr>
            <w:r>
              <w:rPr>
                <w:rFonts w:hint="eastAsia" w:ascii="宋体" w:hAnsi="宋体" w:eastAsia="宋体" w:cs="宋体"/>
                <w:b/>
                <w:kern w:val="0"/>
                <w:sz w:val="18"/>
                <w:szCs w:val="18"/>
              </w:rPr>
              <w:t>总学时</w:t>
            </w:r>
          </w:p>
        </w:tc>
        <w:tc>
          <w:tcPr>
            <w:tcW w:w="613" w:type="dxa"/>
            <w:vMerge w:val="restart"/>
            <w:tcBorders>
              <w:top w:val="single" w:color="auto" w:sz="4" w:space="0"/>
              <w:left w:val="single" w:color="auto" w:sz="4" w:space="0"/>
              <w:right w:val="single" w:color="auto" w:sz="4" w:space="0"/>
            </w:tcBorders>
            <w:shd w:val="clear" w:color="auto" w:fill="D7D7D7" w:themeFill="background1" w:themeFillShade="D8"/>
            <w:textDirection w:val="tbRlV"/>
          </w:tcPr>
          <w:p w14:paraId="56E0EF43">
            <w:pPr>
              <w:widowControl/>
              <w:jc w:val="center"/>
              <w:rPr>
                <w:rFonts w:ascii="宋体" w:hAnsi="宋体" w:eastAsia="宋体" w:cs="宋体"/>
                <w:b/>
                <w:kern w:val="0"/>
                <w:sz w:val="18"/>
                <w:szCs w:val="18"/>
              </w:rPr>
            </w:pPr>
            <w:r>
              <w:rPr>
                <w:rFonts w:hint="eastAsia" w:ascii="宋体" w:hAnsi="宋体" w:eastAsia="宋体" w:cs="宋体"/>
                <w:b/>
                <w:kern w:val="0"/>
                <w:sz w:val="18"/>
                <w:szCs w:val="18"/>
              </w:rPr>
              <w:t>总学分</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D7D7D7" w:themeFill="background1" w:themeFillShade="D8"/>
            <w:textDirection w:val="tbRlV"/>
            <w:vAlign w:val="center"/>
          </w:tcPr>
          <w:p w14:paraId="48FB5E69">
            <w:pPr>
              <w:widowControl/>
              <w:jc w:val="center"/>
              <w:rPr>
                <w:rFonts w:ascii="宋体" w:hAnsi="宋体" w:eastAsia="宋体" w:cs="宋体"/>
                <w:b/>
                <w:kern w:val="0"/>
                <w:sz w:val="18"/>
                <w:szCs w:val="18"/>
              </w:rPr>
            </w:pPr>
            <w:r>
              <w:rPr>
                <w:rFonts w:hint="eastAsia" w:ascii="宋体" w:hAnsi="宋体" w:eastAsia="宋体" w:cs="宋体"/>
                <w:b/>
                <w:kern w:val="0"/>
                <w:sz w:val="18"/>
                <w:szCs w:val="18"/>
              </w:rPr>
              <w:t>实践学时</w:t>
            </w:r>
          </w:p>
        </w:tc>
        <w:tc>
          <w:tcPr>
            <w:tcW w:w="3605" w:type="dxa"/>
            <w:gridSpan w:val="6"/>
            <w:tcBorders>
              <w:top w:val="single" w:color="auto" w:sz="4" w:space="0"/>
              <w:left w:val="nil"/>
              <w:bottom w:val="single" w:color="auto" w:sz="4" w:space="0"/>
              <w:right w:val="single" w:color="auto" w:sz="4" w:space="0"/>
            </w:tcBorders>
            <w:shd w:val="clear" w:color="auto" w:fill="D7D7D7" w:themeFill="background1" w:themeFillShade="D8"/>
            <w:vAlign w:val="center"/>
          </w:tcPr>
          <w:p w14:paraId="2B144D91">
            <w:pPr>
              <w:widowControl/>
              <w:jc w:val="center"/>
              <w:rPr>
                <w:rFonts w:ascii="宋体" w:hAnsi="宋体" w:eastAsia="宋体" w:cs="宋体"/>
                <w:b/>
                <w:kern w:val="0"/>
                <w:sz w:val="18"/>
                <w:szCs w:val="18"/>
              </w:rPr>
            </w:pPr>
            <w:r>
              <w:rPr>
                <w:rFonts w:hint="eastAsia" w:ascii="宋体" w:hAnsi="宋体" w:eastAsia="宋体" w:cs="宋体"/>
                <w:b/>
                <w:kern w:val="0"/>
                <w:sz w:val="18"/>
                <w:szCs w:val="18"/>
              </w:rPr>
              <w:t>按学期教学进程安排</w:t>
            </w:r>
          </w:p>
        </w:tc>
        <w:tc>
          <w:tcPr>
            <w:tcW w:w="548" w:type="dxa"/>
            <w:vMerge w:val="restart"/>
            <w:tcBorders>
              <w:top w:val="single" w:color="auto" w:sz="4" w:space="0"/>
              <w:left w:val="nil"/>
              <w:right w:val="single" w:color="auto" w:sz="4" w:space="0"/>
            </w:tcBorders>
            <w:shd w:val="clear" w:color="auto" w:fill="D7D7D7" w:themeFill="background1" w:themeFillShade="D8"/>
            <w:vAlign w:val="center"/>
          </w:tcPr>
          <w:p w14:paraId="787B527A">
            <w:pPr>
              <w:widowControl/>
              <w:jc w:val="center"/>
              <w:rPr>
                <w:rFonts w:ascii="宋体" w:hAnsi="宋体" w:eastAsia="宋体" w:cs="宋体"/>
                <w:b/>
                <w:kern w:val="0"/>
                <w:sz w:val="18"/>
                <w:szCs w:val="18"/>
              </w:rPr>
            </w:pPr>
            <w:r>
              <w:rPr>
                <w:rFonts w:hint="eastAsia" w:ascii="宋体" w:hAnsi="宋体" w:eastAsia="宋体" w:cs="宋体"/>
                <w:b/>
                <w:kern w:val="0"/>
                <w:sz w:val="18"/>
                <w:szCs w:val="18"/>
              </w:rPr>
              <w:t>考核方式</w:t>
            </w:r>
          </w:p>
        </w:tc>
      </w:tr>
      <w:tr w14:paraId="425BC145">
        <w:tblPrEx>
          <w:tblCellMar>
            <w:top w:w="0" w:type="dxa"/>
            <w:left w:w="108" w:type="dxa"/>
            <w:bottom w:w="0" w:type="dxa"/>
            <w:right w:w="108" w:type="dxa"/>
          </w:tblCellMar>
        </w:tblPrEx>
        <w:trPr>
          <w:trHeight w:val="271" w:hRule="atLeast"/>
          <w:tblHeader/>
          <w:jc w:val="center"/>
        </w:trPr>
        <w:tc>
          <w:tcPr>
            <w:tcW w:w="889" w:type="dxa"/>
            <w:gridSpan w:val="2"/>
            <w:vMerge w:val="continue"/>
            <w:tcBorders>
              <w:top w:val="single" w:color="auto" w:sz="4" w:space="0"/>
              <w:left w:val="single" w:color="auto" w:sz="4" w:space="0"/>
              <w:bottom w:val="single" w:color="000000" w:sz="4" w:space="0"/>
              <w:right w:val="single" w:color="000000" w:sz="4" w:space="0"/>
            </w:tcBorders>
            <w:shd w:val="clear" w:color="auto" w:fill="D7D7D7" w:themeFill="background1" w:themeFillShade="D8"/>
            <w:vAlign w:val="center"/>
          </w:tcPr>
          <w:p w14:paraId="26ADAE95">
            <w:pPr>
              <w:widowControl/>
              <w:jc w:val="left"/>
              <w:rPr>
                <w:rFonts w:ascii="宋体" w:hAnsi="宋体" w:eastAsia="宋体" w:cs="宋体"/>
                <w:b/>
                <w:kern w:val="0"/>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627D74A">
            <w:pPr>
              <w:widowControl/>
              <w:jc w:val="left"/>
              <w:rPr>
                <w:rFonts w:ascii="宋体" w:hAnsi="宋体" w:eastAsia="宋体" w:cs="宋体"/>
                <w:b/>
                <w:kern w:val="0"/>
                <w:sz w:val="18"/>
                <w:szCs w:val="18"/>
              </w:rPr>
            </w:pPr>
          </w:p>
        </w:tc>
        <w:tc>
          <w:tcPr>
            <w:tcW w:w="1859" w:type="dxa"/>
            <w:gridSpan w:val="2"/>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7D12B29">
            <w:pPr>
              <w:widowControl/>
              <w:jc w:val="left"/>
              <w:rPr>
                <w:rFonts w:ascii="宋体" w:hAnsi="宋体" w:eastAsia="宋体" w:cs="宋体"/>
                <w:b/>
                <w:kern w:val="0"/>
                <w:sz w:val="18"/>
                <w:szCs w:val="18"/>
              </w:rPr>
            </w:pPr>
          </w:p>
        </w:tc>
        <w:tc>
          <w:tcPr>
            <w:tcW w:w="731"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BC30586">
            <w:pPr>
              <w:widowControl/>
              <w:jc w:val="left"/>
              <w:rPr>
                <w:rFonts w:ascii="宋体" w:hAnsi="宋体" w:eastAsia="宋体" w:cs="宋体"/>
                <w:b/>
                <w:kern w:val="0"/>
                <w:sz w:val="18"/>
                <w:szCs w:val="18"/>
              </w:rPr>
            </w:pPr>
          </w:p>
        </w:tc>
        <w:tc>
          <w:tcPr>
            <w:tcW w:w="613" w:type="dxa"/>
            <w:vMerge w:val="continue"/>
            <w:tcBorders>
              <w:left w:val="single" w:color="auto" w:sz="4" w:space="0"/>
              <w:right w:val="single" w:color="auto" w:sz="4" w:space="0"/>
            </w:tcBorders>
            <w:shd w:val="clear" w:color="auto" w:fill="D7D7D7" w:themeFill="background1" w:themeFillShade="D8"/>
          </w:tcPr>
          <w:p w14:paraId="1C33BB27">
            <w:pPr>
              <w:widowControl/>
              <w:jc w:val="left"/>
              <w:rPr>
                <w:rFonts w:ascii="宋体" w:hAnsi="宋体" w:eastAsia="宋体" w:cs="宋体"/>
                <w:b/>
                <w:kern w:val="0"/>
                <w:sz w:val="18"/>
                <w:szCs w:val="18"/>
              </w:rPr>
            </w:pPr>
          </w:p>
        </w:tc>
        <w:tc>
          <w:tcPr>
            <w:tcW w:w="705"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5101A92">
            <w:pPr>
              <w:widowControl/>
              <w:jc w:val="left"/>
              <w:rPr>
                <w:rFonts w:ascii="宋体" w:hAnsi="宋体" w:eastAsia="宋体" w:cs="宋体"/>
                <w:b/>
                <w:kern w:val="0"/>
                <w:sz w:val="18"/>
                <w:szCs w:val="18"/>
              </w:rPr>
            </w:pPr>
          </w:p>
        </w:tc>
        <w:tc>
          <w:tcPr>
            <w:tcW w:w="487" w:type="dxa"/>
            <w:tcBorders>
              <w:top w:val="nil"/>
              <w:left w:val="nil"/>
              <w:bottom w:val="single" w:color="auto" w:sz="4" w:space="0"/>
              <w:right w:val="single" w:color="auto" w:sz="4" w:space="0"/>
            </w:tcBorders>
            <w:shd w:val="clear" w:color="auto" w:fill="D7D7D7" w:themeFill="background1" w:themeFillShade="D8"/>
            <w:vAlign w:val="center"/>
          </w:tcPr>
          <w:p w14:paraId="107A8AED">
            <w:pPr>
              <w:widowControl/>
              <w:jc w:val="center"/>
              <w:rPr>
                <w:rFonts w:ascii="宋体" w:hAnsi="宋体" w:eastAsia="宋体" w:cs="宋体"/>
                <w:b/>
                <w:kern w:val="0"/>
                <w:sz w:val="18"/>
                <w:szCs w:val="18"/>
              </w:rPr>
            </w:pPr>
            <w:r>
              <w:rPr>
                <w:rFonts w:hint="eastAsia" w:ascii="宋体" w:hAnsi="宋体" w:eastAsia="宋体" w:cs="宋体"/>
                <w:b/>
                <w:kern w:val="0"/>
                <w:sz w:val="18"/>
                <w:szCs w:val="18"/>
              </w:rPr>
              <w:t>1</w:t>
            </w:r>
          </w:p>
        </w:tc>
        <w:tc>
          <w:tcPr>
            <w:tcW w:w="651" w:type="dxa"/>
            <w:tcBorders>
              <w:top w:val="nil"/>
              <w:left w:val="nil"/>
              <w:bottom w:val="single" w:color="auto" w:sz="4" w:space="0"/>
              <w:right w:val="single" w:color="auto" w:sz="4" w:space="0"/>
            </w:tcBorders>
            <w:shd w:val="clear" w:color="auto" w:fill="D7D7D7" w:themeFill="background1" w:themeFillShade="D8"/>
            <w:vAlign w:val="center"/>
          </w:tcPr>
          <w:p w14:paraId="7F609790">
            <w:pPr>
              <w:widowControl/>
              <w:jc w:val="center"/>
              <w:rPr>
                <w:rFonts w:ascii="宋体" w:hAnsi="宋体" w:eastAsia="宋体" w:cs="宋体"/>
                <w:b/>
                <w:kern w:val="0"/>
                <w:sz w:val="18"/>
                <w:szCs w:val="18"/>
              </w:rPr>
            </w:pPr>
            <w:r>
              <w:rPr>
                <w:rFonts w:hint="eastAsia" w:ascii="宋体" w:hAnsi="宋体" w:eastAsia="宋体" w:cs="宋体"/>
                <w:b/>
                <w:kern w:val="0"/>
                <w:sz w:val="18"/>
                <w:szCs w:val="18"/>
              </w:rPr>
              <w:t>2</w:t>
            </w:r>
          </w:p>
        </w:tc>
        <w:tc>
          <w:tcPr>
            <w:tcW w:w="624" w:type="dxa"/>
            <w:tcBorders>
              <w:top w:val="nil"/>
              <w:left w:val="nil"/>
              <w:bottom w:val="single" w:color="auto" w:sz="4" w:space="0"/>
              <w:right w:val="single" w:color="auto" w:sz="4" w:space="0"/>
            </w:tcBorders>
            <w:shd w:val="clear" w:color="auto" w:fill="D7D7D7" w:themeFill="background1" w:themeFillShade="D8"/>
            <w:vAlign w:val="center"/>
          </w:tcPr>
          <w:p w14:paraId="16509585">
            <w:pPr>
              <w:widowControl/>
              <w:jc w:val="center"/>
              <w:rPr>
                <w:rFonts w:ascii="宋体" w:hAnsi="宋体" w:eastAsia="宋体" w:cs="宋体"/>
                <w:b/>
                <w:kern w:val="0"/>
                <w:sz w:val="18"/>
                <w:szCs w:val="18"/>
              </w:rPr>
            </w:pPr>
            <w:r>
              <w:rPr>
                <w:rFonts w:hint="eastAsia" w:ascii="宋体" w:hAnsi="宋体" w:eastAsia="宋体" w:cs="宋体"/>
                <w:b/>
                <w:kern w:val="0"/>
                <w:sz w:val="18"/>
                <w:szCs w:val="18"/>
              </w:rPr>
              <w:t>3</w:t>
            </w:r>
          </w:p>
        </w:tc>
        <w:tc>
          <w:tcPr>
            <w:tcW w:w="709" w:type="dxa"/>
            <w:tcBorders>
              <w:top w:val="nil"/>
              <w:left w:val="nil"/>
              <w:bottom w:val="single" w:color="auto" w:sz="4" w:space="0"/>
              <w:right w:val="single" w:color="auto" w:sz="4" w:space="0"/>
            </w:tcBorders>
            <w:shd w:val="clear" w:color="auto" w:fill="D7D7D7" w:themeFill="background1" w:themeFillShade="D8"/>
            <w:vAlign w:val="center"/>
          </w:tcPr>
          <w:p w14:paraId="29949373">
            <w:pPr>
              <w:widowControl/>
              <w:jc w:val="center"/>
              <w:rPr>
                <w:rFonts w:ascii="宋体" w:hAnsi="宋体" w:eastAsia="宋体" w:cs="宋体"/>
                <w:b/>
                <w:kern w:val="0"/>
                <w:sz w:val="18"/>
                <w:szCs w:val="18"/>
              </w:rPr>
            </w:pPr>
            <w:r>
              <w:rPr>
                <w:rFonts w:hint="eastAsia" w:ascii="宋体" w:hAnsi="宋体" w:eastAsia="宋体" w:cs="宋体"/>
                <w:b/>
                <w:kern w:val="0"/>
                <w:sz w:val="18"/>
                <w:szCs w:val="18"/>
              </w:rPr>
              <w:t>4</w:t>
            </w:r>
          </w:p>
        </w:tc>
        <w:tc>
          <w:tcPr>
            <w:tcW w:w="567" w:type="dxa"/>
            <w:tcBorders>
              <w:top w:val="nil"/>
              <w:left w:val="nil"/>
              <w:bottom w:val="single" w:color="auto" w:sz="4" w:space="0"/>
              <w:right w:val="single" w:color="auto" w:sz="4" w:space="0"/>
            </w:tcBorders>
            <w:shd w:val="clear" w:color="auto" w:fill="D7D7D7" w:themeFill="background1" w:themeFillShade="D8"/>
            <w:vAlign w:val="center"/>
          </w:tcPr>
          <w:p w14:paraId="14B2B466">
            <w:pPr>
              <w:widowControl/>
              <w:jc w:val="center"/>
              <w:rPr>
                <w:rFonts w:ascii="宋体" w:hAnsi="宋体" w:eastAsia="宋体" w:cs="宋体"/>
                <w:b/>
                <w:kern w:val="0"/>
                <w:sz w:val="18"/>
                <w:szCs w:val="18"/>
              </w:rPr>
            </w:pPr>
            <w:r>
              <w:rPr>
                <w:rFonts w:hint="eastAsia" w:ascii="宋体" w:hAnsi="宋体" w:eastAsia="宋体" w:cs="宋体"/>
                <w:b/>
                <w:kern w:val="0"/>
                <w:sz w:val="18"/>
                <w:szCs w:val="18"/>
              </w:rPr>
              <w:t>5</w:t>
            </w:r>
          </w:p>
        </w:tc>
        <w:tc>
          <w:tcPr>
            <w:tcW w:w="567" w:type="dxa"/>
            <w:tcBorders>
              <w:top w:val="nil"/>
              <w:left w:val="nil"/>
              <w:bottom w:val="single" w:color="auto" w:sz="4" w:space="0"/>
              <w:right w:val="single" w:color="auto" w:sz="4" w:space="0"/>
            </w:tcBorders>
            <w:shd w:val="clear" w:color="auto" w:fill="D7D7D7" w:themeFill="background1" w:themeFillShade="D8"/>
            <w:vAlign w:val="center"/>
          </w:tcPr>
          <w:p w14:paraId="525EEAFD">
            <w:pPr>
              <w:widowControl/>
              <w:jc w:val="center"/>
              <w:rPr>
                <w:rFonts w:ascii="宋体" w:hAnsi="宋体" w:eastAsia="宋体" w:cs="宋体"/>
                <w:b/>
                <w:kern w:val="0"/>
                <w:sz w:val="18"/>
                <w:szCs w:val="18"/>
              </w:rPr>
            </w:pPr>
            <w:r>
              <w:rPr>
                <w:rFonts w:hint="eastAsia" w:ascii="宋体" w:hAnsi="宋体" w:eastAsia="宋体" w:cs="宋体"/>
                <w:b/>
                <w:kern w:val="0"/>
                <w:sz w:val="18"/>
                <w:szCs w:val="18"/>
              </w:rPr>
              <w:t>6</w:t>
            </w:r>
          </w:p>
        </w:tc>
        <w:tc>
          <w:tcPr>
            <w:tcW w:w="548" w:type="dxa"/>
            <w:vMerge w:val="continue"/>
            <w:tcBorders>
              <w:left w:val="nil"/>
              <w:right w:val="single" w:color="auto" w:sz="4" w:space="0"/>
            </w:tcBorders>
            <w:shd w:val="clear" w:color="auto" w:fill="D7D7D7" w:themeFill="background1" w:themeFillShade="D8"/>
          </w:tcPr>
          <w:p w14:paraId="08C9AEF6">
            <w:pPr>
              <w:widowControl/>
              <w:jc w:val="center"/>
              <w:rPr>
                <w:rFonts w:ascii="宋体" w:hAnsi="宋体" w:eastAsia="宋体" w:cs="宋体"/>
                <w:kern w:val="0"/>
                <w:sz w:val="18"/>
                <w:szCs w:val="18"/>
              </w:rPr>
            </w:pPr>
          </w:p>
        </w:tc>
      </w:tr>
      <w:tr w14:paraId="24E73ACE">
        <w:tblPrEx>
          <w:tblCellMar>
            <w:top w:w="0" w:type="dxa"/>
            <w:left w:w="108" w:type="dxa"/>
            <w:bottom w:w="0" w:type="dxa"/>
            <w:right w:w="108" w:type="dxa"/>
          </w:tblCellMar>
        </w:tblPrEx>
        <w:trPr>
          <w:trHeight w:val="416" w:hRule="atLeast"/>
          <w:tblHeader/>
          <w:jc w:val="center"/>
        </w:trPr>
        <w:tc>
          <w:tcPr>
            <w:tcW w:w="889" w:type="dxa"/>
            <w:gridSpan w:val="2"/>
            <w:vMerge w:val="continue"/>
            <w:tcBorders>
              <w:top w:val="single" w:color="auto" w:sz="4" w:space="0"/>
              <w:left w:val="single" w:color="auto" w:sz="4" w:space="0"/>
              <w:bottom w:val="single" w:color="000000" w:sz="4" w:space="0"/>
              <w:right w:val="single" w:color="000000" w:sz="4" w:space="0"/>
            </w:tcBorders>
            <w:shd w:val="clear" w:color="auto" w:fill="D7D7D7" w:themeFill="background1" w:themeFillShade="D8"/>
            <w:vAlign w:val="center"/>
          </w:tcPr>
          <w:p w14:paraId="2BB73979">
            <w:pPr>
              <w:widowControl/>
              <w:jc w:val="left"/>
              <w:rPr>
                <w:rFonts w:ascii="宋体" w:hAnsi="宋体" w:eastAsia="宋体" w:cs="宋体"/>
                <w:b/>
                <w:kern w:val="0"/>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C05E18A">
            <w:pPr>
              <w:widowControl/>
              <w:jc w:val="left"/>
              <w:rPr>
                <w:rFonts w:ascii="宋体" w:hAnsi="宋体" w:eastAsia="宋体" w:cs="宋体"/>
                <w:b/>
                <w:kern w:val="0"/>
                <w:sz w:val="18"/>
                <w:szCs w:val="18"/>
              </w:rPr>
            </w:pPr>
          </w:p>
        </w:tc>
        <w:tc>
          <w:tcPr>
            <w:tcW w:w="1859" w:type="dxa"/>
            <w:gridSpan w:val="2"/>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C130217">
            <w:pPr>
              <w:widowControl/>
              <w:jc w:val="left"/>
              <w:rPr>
                <w:rFonts w:ascii="宋体" w:hAnsi="宋体" w:eastAsia="宋体" w:cs="宋体"/>
                <w:b/>
                <w:kern w:val="0"/>
                <w:sz w:val="18"/>
                <w:szCs w:val="18"/>
              </w:rPr>
            </w:pPr>
          </w:p>
        </w:tc>
        <w:tc>
          <w:tcPr>
            <w:tcW w:w="731"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CBE4072">
            <w:pPr>
              <w:widowControl/>
              <w:jc w:val="left"/>
              <w:rPr>
                <w:rFonts w:ascii="宋体" w:hAnsi="宋体" w:eastAsia="宋体" w:cs="宋体"/>
                <w:b/>
                <w:kern w:val="0"/>
                <w:sz w:val="18"/>
                <w:szCs w:val="18"/>
              </w:rPr>
            </w:pPr>
          </w:p>
        </w:tc>
        <w:tc>
          <w:tcPr>
            <w:tcW w:w="613" w:type="dxa"/>
            <w:vMerge w:val="continue"/>
            <w:tcBorders>
              <w:left w:val="single" w:color="auto" w:sz="4" w:space="0"/>
              <w:bottom w:val="single" w:color="auto" w:sz="4" w:space="0"/>
              <w:right w:val="single" w:color="auto" w:sz="4" w:space="0"/>
            </w:tcBorders>
            <w:shd w:val="clear" w:color="auto" w:fill="D7D7D7" w:themeFill="background1" w:themeFillShade="D8"/>
          </w:tcPr>
          <w:p w14:paraId="788EF4E9">
            <w:pPr>
              <w:widowControl/>
              <w:jc w:val="left"/>
              <w:rPr>
                <w:rFonts w:ascii="宋体" w:hAnsi="宋体" w:eastAsia="宋体" w:cs="宋体"/>
                <w:b/>
                <w:kern w:val="0"/>
                <w:sz w:val="18"/>
                <w:szCs w:val="18"/>
              </w:rPr>
            </w:pPr>
          </w:p>
        </w:tc>
        <w:tc>
          <w:tcPr>
            <w:tcW w:w="705" w:type="dxa"/>
            <w:vMerge w:val="continue"/>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6AC1FC6">
            <w:pPr>
              <w:widowControl/>
              <w:jc w:val="left"/>
              <w:rPr>
                <w:rFonts w:ascii="宋体" w:hAnsi="宋体" w:eastAsia="宋体" w:cs="宋体"/>
                <w:b/>
                <w:kern w:val="0"/>
                <w:sz w:val="18"/>
                <w:szCs w:val="18"/>
              </w:rPr>
            </w:pPr>
          </w:p>
        </w:tc>
        <w:tc>
          <w:tcPr>
            <w:tcW w:w="487" w:type="dxa"/>
            <w:tcBorders>
              <w:top w:val="nil"/>
              <w:left w:val="nil"/>
              <w:bottom w:val="single" w:color="auto" w:sz="4" w:space="0"/>
              <w:right w:val="single" w:color="auto" w:sz="4" w:space="0"/>
            </w:tcBorders>
            <w:shd w:val="clear" w:color="auto" w:fill="D7D7D7" w:themeFill="background1" w:themeFillShade="D8"/>
            <w:vAlign w:val="center"/>
          </w:tcPr>
          <w:p w14:paraId="30723CBD">
            <w:pPr>
              <w:widowControl/>
              <w:jc w:val="center"/>
              <w:rPr>
                <w:rFonts w:ascii="宋体" w:hAnsi="宋体" w:eastAsia="宋体" w:cs="宋体"/>
                <w:b/>
                <w:kern w:val="0"/>
                <w:sz w:val="16"/>
                <w:szCs w:val="16"/>
              </w:rPr>
            </w:pPr>
            <w:r>
              <w:rPr>
                <w:rFonts w:hint="eastAsia" w:ascii="宋体" w:hAnsi="宋体" w:eastAsia="宋体" w:cs="宋体"/>
                <w:b/>
                <w:kern w:val="0"/>
                <w:sz w:val="16"/>
                <w:szCs w:val="16"/>
              </w:rPr>
              <w:t>18</w:t>
            </w:r>
          </w:p>
        </w:tc>
        <w:tc>
          <w:tcPr>
            <w:tcW w:w="651" w:type="dxa"/>
            <w:tcBorders>
              <w:top w:val="nil"/>
              <w:left w:val="nil"/>
              <w:bottom w:val="single" w:color="auto" w:sz="4" w:space="0"/>
              <w:right w:val="single" w:color="auto" w:sz="4" w:space="0"/>
            </w:tcBorders>
            <w:shd w:val="clear" w:color="auto" w:fill="D7D7D7" w:themeFill="background1" w:themeFillShade="D8"/>
            <w:vAlign w:val="center"/>
          </w:tcPr>
          <w:p w14:paraId="5BDD7F7E">
            <w:pPr>
              <w:widowControl/>
              <w:jc w:val="center"/>
              <w:rPr>
                <w:rFonts w:ascii="宋体" w:hAnsi="宋体" w:eastAsia="宋体" w:cs="宋体"/>
                <w:b/>
                <w:kern w:val="0"/>
                <w:sz w:val="16"/>
                <w:szCs w:val="16"/>
              </w:rPr>
            </w:pPr>
            <w:r>
              <w:rPr>
                <w:rFonts w:hint="eastAsia" w:ascii="宋体" w:hAnsi="宋体" w:eastAsia="宋体" w:cs="宋体"/>
                <w:b/>
                <w:kern w:val="0"/>
                <w:sz w:val="16"/>
                <w:szCs w:val="16"/>
              </w:rPr>
              <w:t>18</w:t>
            </w:r>
          </w:p>
        </w:tc>
        <w:tc>
          <w:tcPr>
            <w:tcW w:w="624" w:type="dxa"/>
            <w:tcBorders>
              <w:top w:val="nil"/>
              <w:left w:val="nil"/>
              <w:bottom w:val="single" w:color="auto" w:sz="4" w:space="0"/>
              <w:right w:val="single" w:color="auto" w:sz="4" w:space="0"/>
            </w:tcBorders>
            <w:shd w:val="clear" w:color="auto" w:fill="D7D7D7" w:themeFill="background1" w:themeFillShade="D8"/>
            <w:vAlign w:val="center"/>
          </w:tcPr>
          <w:p w14:paraId="1351BCC8">
            <w:pPr>
              <w:widowControl/>
              <w:jc w:val="center"/>
              <w:rPr>
                <w:rFonts w:ascii="宋体" w:hAnsi="宋体" w:eastAsia="宋体" w:cs="宋体"/>
                <w:b/>
                <w:kern w:val="0"/>
                <w:sz w:val="16"/>
                <w:szCs w:val="16"/>
              </w:rPr>
            </w:pPr>
            <w:r>
              <w:rPr>
                <w:rFonts w:hint="eastAsia" w:ascii="宋体" w:hAnsi="宋体" w:eastAsia="宋体" w:cs="宋体"/>
                <w:b/>
                <w:kern w:val="0"/>
                <w:sz w:val="16"/>
                <w:szCs w:val="16"/>
              </w:rPr>
              <w:t>18</w:t>
            </w:r>
          </w:p>
        </w:tc>
        <w:tc>
          <w:tcPr>
            <w:tcW w:w="709" w:type="dxa"/>
            <w:tcBorders>
              <w:top w:val="nil"/>
              <w:left w:val="nil"/>
              <w:bottom w:val="single" w:color="auto" w:sz="4" w:space="0"/>
              <w:right w:val="single" w:color="auto" w:sz="4" w:space="0"/>
            </w:tcBorders>
            <w:shd w:val="clear" w:color="auto" w:fill="D7D7D7" w:themeFill="background1" w:themeFillShade="D8"/>
            <w:vAlign w:val="center"/>
          </w:tcPr>
          <w:p w14:paraId="3158A1E4">
            <w:pPr>
              <w:widowControl/>
              <w:jc w:val="center"/>
              <w:rPr>
                <w:rFonts w:ascii="宋体" w:hAnsi="宋体" w:eastAsia="宋体" w:cs="宋体"/>
                <w:b/>
                <w:kern w:val="0"/>
                <w:sz w:val="16"/>
                <w:szCs w:val="16"/>
              </w:rPr>
            </w:pPr>
            <w:r>
              <w:rPr>
                <w:rFonts w:hint="eastAsia" w:ascii="宋体" w:hAnsi="宋体" w:eastAsia="宋体" w:cs="宋体"/>
                <w:b/>
                <w:kern w:val="0"/>
                <w:sz w:val="16"/>
                <w:szCs w:val="16"/>
              </w:rPr>
              <w:t>18</w:t>
            </w:r>
          </w:p>
        </w:tc>
        <w:tc>
          <w:tcPr>
            <w:tcW w:w="567" w:type="dxa"/>
            <w:tcBorders>
              <w:top w:val="nil"/>
              <w:left w:val="nil"/>
              <w:bottom w:val="single" w:color="auto" w:sz="4" w:space="0"/>
              <w:right w:val="single" w:color="auto" w:sz="4" w:space="0"/>
            </w:tcBorders>
            <w:shd w:val="clear" w:color="auto" w:fill="D7D7D7" w:themeFill="background1" w:themeFillShade="D8"/>
            <w:vAlign w:val="center"/>
          </w:tcPr>
          <w:p w14:paraId="5FFD3D18">
            <w:pPr>
              <w:widowControl/>
              <w:jc w:val="center"/>
              <w:rPr>
                <w:rFonts w:ascii="宋体" w:hAnsi="宋体" w:eastAsia="宋体" w:cs="宋体"/>
                <w:b/>
                <w:kern w:val="0"/>
                <w:sz w:val="16"/>
                <w:szCs w:val="16"/>
              </w:rPr>
            </w:pPr>
            <w:r>
              <w:rPr>
                <w:rFonts w:hint="eastAsia" w:ascii="宋体" w:hAnsi="宋体" w:eastAsia="宋体" w:cs="宋体"/>
                <w:b/>
                <w:kern w:val="0"/>
                <w:sz w:val="16"/>
                <w:szCs w:val="16"/>
              </w:rPr>
              <w:t>18</w:t>
            </w:r>
          </w:p>
        </w:tc>
        <w:tc>
          <w:tcPr>
            <w:tcW w:w="567" w:type="dxa"/>
            <w:tcBorders>
              <w:top w:val="nil"/>
              <w:left w:val="nil"/>
              <w:bottom w:val="single" w:color="auto" w:sz="4" w:space="0"/>
              <w:right w:val="single" w:color="auto" w:sz="4" w:space="0"/>
            </w:tcBorders>
            <w:shd w:val="clear" w:color="auto" w:fill="D7D7D7" w:themeFill="background1" w:themeFillShade="D8"/>
            <w:vAlign w:val="center"/>
          </w:tcPr>
          <w:p w14:paraId="7E049593">
            <w:pPr>
              <w:widowControl/>
              <w:jc w:val="center"/>
              <w:rPr>
                <w:rFonts w:ascii="宋体" w:hAnsi="宋体" w:eastAsia="宋体" w:cs="宋体"/>
                <w:b/>
                <w:kern w:val="0"/>
                <w:sz w:val="16"/>
                <w:szCs w:val="16"/>
              </w:rPr>
            </w:pPr>
            <w:r>
              <w:rPr>
                <w:rFonts w:hint="eastAsia" w:ascii="宋体" w:hAnsi="宋体" w:eastAsia="宋体" w:cs="宋体"/>
                <w:b/>
                <w:kern w:val="0"/>
                <w:sz w:val="16"/>
                <w:szCs w:val="16"/>
              </w:rPr>
              <w:t>20</w:t>
            </w:r>
          </w:p>
        </w:tc>
        <w:tc>
          <w:tcPr>
            <w:tcW w:w="548" w:type="dxa"/>
            <w:vMerge w:val="continue"/>
            <w:tcBorders>
              <w:left w:val="nil"/>
              <w:bottom w:val="single" w:color="auto" w:sz="4" w:space="0"/>
              <w:right w:val="single" w:color="auto" w:sz="4" w:space="0"/>
            </w:tcBorders>
            <w:shd w:val="clear" w:color="auto" w:fill="D7D7D7" w:themeFill="background1" w:themeFillShade="D8"/>
          </w:tcPr>
          <w:p w14:paraId="3EECE644">
            <w:pPr>
              <w:widowControl/>
              <w:jc w:val="center"/>
              <w:rPr>
                <w:rFonts w:ascii="宋体" w:hAnsi="宋体" w:eastAsia="宋体" w:cs="宋体"/>
                <w:kern w:val="0"/>
                <w:sz w:val="18"/>
                <w:szCs w:val="18"/>
              </w:rPr>
            </w:pPr>
          </w:p>
        </w:tc>
      </w:tr>
      <w:tr w14:paraId="49065B4C">
        <w:tblPrEx>
          <w:tblCellMar>
            <w:top w:w="0" w:type="dxa"/>
            <w:left w:w="108" w:type="dxa"/>
            <w:bottom w:w="0" w:type="dxa"/>
            <w:right w:w="108" w:type="dxa"/>
          </w:tblCellMar>
        </w:tblPrEx>
        <w:trPr>
          <w:trHeight w:val="271" w:hRule="atLeast"/>
          <w:jc w:val="center"/>
        </w:trPr>
        <w:tc>
          <w:tcPr>
            <w:tcW w:w="463" w:type="dxa"/>
            <w:vMerge w:val="restart"/>
            <w:tcBorders>
              <w:top w:val="nil"/>
              <w:left w:val="single" w:color="auto" w:sz="4" w:space="0"/>
              <w:right w:val="single" w:color="auto" w:sz="4" w:space="0"/>
            </w:tcBorders>
            <w:vAlign w:val="center"/>
          </w:tcPr>
          <w:p w14:paraId="508EFA9F">
            <w:pPr>
              <w:widowControl/>
              <w:jc w:val="center"/>
              <w:rPr>
                <w:rFonts w:ascii="宋体" w:hAnsi="宋体" w:eastAsia="宋体" w:cs="宋体"/>
                <w:kern w:val="0"/>
                <w:sz w:val="18"/>
                <w:szCs w:val="18"/>
              </w:rPr>
            </w:pPr>
            <w:r>
              <w:rPr>
                <w:rFonts w:hint="eastAsia" w:ascii="宋体" w:hAnsi="宋体" w:eastAsia="宋体" w:cs="宋体"/>
                <w:kern w:val="0"/>
                <w:sz w:val="18"/>
                <w:szCs w:val="18"/>
              </w:rPr>
              <w:t>公共基础课</w:t>
            </w:r>
          </w:p>
          <w:p w14:paraId="7EA61C84">
            <w:pPr>
              <w:widowControl/>
              <w:jc w:val="center"/>
              <w:rPr>
                <w:rFonts w:ascii="宋体" w:hAnsi="宋体" w:eastAsia="宋体" w:cs="宋体"/>
                <w:kern w:val="0"/>
                <w:sz w:val="18"/>
                <w:szCs w:val="18"/>
              </w:rPr>
            </w:pPr>
            <w:r>
              <w:rPr>
                <w:rFonts w:hint="eastAsia" w:ascii="宋体" w:hAnsi="宋体" w:eastAsia="宋体" w:cs="宋体"/>
                <w:kern w:val="0"/>
                <w:sz w:val="18"/>
                <w:szCs w:val="18"/>
              </w:rPr>
              <w:t>程</w:t>
            </w:r>
          </w:p>
        </w:tc>
        <w:tc>
          <w:tcPr>
            <w:tcW w:w="426" w:type="dxa"/>
            <w:vMerge w:val="restart"/>
            <w:tcBorders>
              <w:top w:val="nil"/>
              <w:left w:val="single" w:color="auto" w:sz="4" w:space="0"/>
              <w:bottom w:val="single" w:color="auto" w:sz="4" w:space="0"/>
              <w:right w:val="single" w:color="auto" w:sz="4" w:space="0"/>
            </w:tcBorders>
            <w:vAlign w:val="center"/>
          </w:tcPr>
          <w:p w14:paraId="60B3AE10">
            <w:pPr>
              <w:widowControl/>
              <w:jc w:val="center"/>
              <w:rPr>
                <w:rFonts w:ascii="宋体" w:hAnsi="宋体" w:eastAsia="宋体" w:cs="宋体"/>
                <w:kern w:val="0"/>
                <w:sz w:val="18"/>
                <w:szCs w:val="18"/>
              </w:rPr>
            </w:pPr>
            <w:r>
              <w:rPr>
                <w:rFonts w:hint="eastAsia" w:ascii="宋体" w:hAnsi="宋体" w:eastAsia="宋体" w:cs="宋体"/>
                <w:kern w:val="0"/>
                <w:sz w:val="18"/>
                <w:szCs w:val="18"/>
              </w:rPr>
              <w:t>公共必修课</w:t>
            </w:r>
          </w:p>
          <w:p w14:paraId="20C8E988">
            <w:pPr>
              <w:widowControl/>
              <w:jc w:val="center"/>
              <w:rPr>
                <w:rFonts w:ascii="宋体" w:hAnsi="宋体" w:eastAsia="宋体" w:cs="宋体"/>
                <w:kern w:val="0"/>
                <w:sz w:val="18"/>
                <w:szCs w:val="18"/>
              </w:rPr>
            </w:pPr>
            <w:r>
              <w:rPr>
                <w:rFonts w:hint="eastAsia" w:ascii="宋体" w:hAnsi="宋体" w:eastAsia="宋体" w:cs="宋体"/>
                <w:kern w:val="0"/>
                <w:sz w:val="18"/>
                <w:szCs w:val="18"/>
              </w:rPr>
              <w:t>程</w:t>
            </w:r>
          </w:p>
        </w:tc>
        <w:tc>
          <w:tcPr>
            <w:tcW w:w="1134" w:type="dxa"/>
            <w:tcBorders>
              <w:top w:val="nil"/>
              <w:left w:val="nil"/>
              <w:bottom w:val="single" w:color="auto" w:sz="4" w:space="0"/>
              <w:right w:val="nil"/>
            </w:tcBorders>
            <w:vAlign w:val="center"/>
          </w:tcPr>
          <w:p w14:paraId="7E966690">
            <w:pPr>
              <w:widowControl/>
              <w:jc w:val="center"/>
              <w:rPr>
                <w:rFonts w:ascii="宋体" w:hAnsi="宋体" w:eastAsia="宋体" w:cs="宋体"/>
                <w:kern w:val="0"/>
                <w:sz w:val="18"/>
                <w:szCs w:val="18"/>
              </w:rPr>
            </w:pPr>
            <w:r>
              <w:rPr>
                <w:rFonts w:ascii="宋体" w:hAnsi="宋体" w:eastAsia="宋体" w:cs="宋体"/>
                <w:kern w:val="0"/>
                <w:sz w:val="18"/>
                <w:szCs w:val="18"/>
              </w:rPr>
              <w:t>1011030</w:t>
            </w:r>
          </w:p>
        </w:tc>
        <w:tc>
          <w:tcPr>
            <w:tcW w:w="1859" w:type="dxa"/>
            <w:gridSpan w:val="2"/>
            <w:tcBorders>
              <w:top w:val="nil"/>
              <w:left w:val="single" w:color="auto" w:sz="4" w:space="0"/>
              <w:bottom w:val="single" w:color="auto" w:sz="4" w:space="0"/>
              <w:right w:val="nil"/>
            </w:tcBorders>
            <w:vAlign w:val="center"/>
          </w:tcPr>
          <w:p w14:paraId="1B5702FF">
            <w:pPr>
              <w:widowControl/>
              <w:jc w:val="center"/>
              <w:rPr>
                <w:rFonts w:ascii="宋体" w:hAnsi="宋体" w:eastAsia="宋体" w:cs="宋体"/>
                <w:kern w:val="0"/>
                <w:sz w:val="18"/>
                <w:szCs w:val="18"/>
              </w:rPr>
            </w:pPr>
            <w:r>
              <w:rPr>
                <w:rFonts w:hint="eastAsia" w:ascii="宋体" w:hAnsi="宋体" w:eastAsia="宋体" w:cs="宋体"/>
                <w:kern w:val="0"/>
                <w:sz w:val="18"/>
                <w:szCs w:val="18"/>
              </w:rPr>
              <w:t>中国特色社会主义</w:t>
            </w:r>
          </w:p>
        </w:tc>
        <w:tc>
          <w:tcPr>
            <w:tcW w:w="731" w:type="dxa"/>
            <w:tcBorders>
              <w:top w:val="nil"/>
              <w:left w:val="single" w:color="auto" w:sz="4" w:space="0"/>
              <w:bottom w:val="single" w:color="auto" w:sz="4" w:space="0"/>
              <w:right w:val="single" w:color="auto" w:sz="4" w:space="0"/>
            </w:tcBorders>
            <w:vAlign w:val="center"/>
          </w:tcPr>
          <w:p w14:paraId="36528DAD">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4FA370D3">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6073E962">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6652B111">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51" w:type="dxa"/>
            <w:tcBorders>
              <w:top w:val="nil"/>
              <w:left w:val="nil"/>
              <w:bottom w:val="single" w:color="auto" w:sz="4" w:space="0"/>
              <w:right w:val="single" w:color="auto" w:sz="4" w:space="0"/>
            </w:tcBorders>
            <w:vAlign w:val="center"/>
          </w:tcPr>
          <w:p w14:paraId="712BEAEF">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24" w:type="dxa"/>
            <w:tcBorders>
              <w:top w:val="nil"/>
              <w:left w:val="nil"/>
              <w:bottom w:val="single" w:color="auto" w:sz="4" w:space="0"/>
              <w:right w:val="single" w:color="auto" w:sz="4" w:space="0"/>
            </w:tcBorders>
            <w:vAlign w:val="center"/>
          </w:tcPr>
          <w:p w14:paraId="466D4604">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vAlign w:val="center"/>
          </w:tcPr>
          <w:p w14:paraId="2F01FC34">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7" w:type="dxa"/>
            <w:tcBorders>
              <w:top w:val="nil"/>
              <w:left w:val="nil"/>
              <w:bottom w:val="single" w:color="auto" w:sz="4" w:space="0"/>
              <w:right w:val="single" w:color="auto" w:sz="4" w:space="0"/>
            </w:tcBorders>
            <w:vAlign w:val="center"/>
          </w:tcPr>
          <w:p w14:paraId="68D91E40">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8363BFD">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A102DE1">
            <w:pPr>
              <w:widowControl/>
              <w:jc w:val="center"/>
              <w:rPr>
                <w:rFonts w:ascii="宋体" w:hAnsi="宋体" w:eastAsia="宋体" w:cs="宋体"/>
                <w:kern w:val="0"/>
                <w:sz w:val="18"/>
                <w:szCs w:val="18"/>
              </w:rPr>
            </w:pPr>
            <w:r>
              <w:rPr>
                <w:rFonts w:hint="eastAsia" w:ascii="宋体" w:hAnsi="宋体" w:cs="宋体"/>
                <w:sz w:val="18"/>
                <w:szCs w:val="18"/>
              </w:rPr>
              <w:t>★</w:t>
            </w:r>
          </w:p>
        </w:tc>
      </w:tr>
      <w:tr w14:paraId="675A3BB4">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4294EA52">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05A612EE">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020C1E5A">
            <w:pPr>
              <w:widowControl/>
              <w:jc w:val="center"/>
              <w:rPr>
                <w:rFonts w:ascii="宋体" w:hAnsi="宋体" w:eastAsia="宋体" w:cs="宋体"/>
                <w:kern w:val="0"/>
                <w:sz w:val="18"/>
                <w:szCs w:val="18"/>
              </w:rPr>
            </w:pPr>
            <w:r>
              <w:rPr>
                <w:rFonts w:ascii="宋体" w:hAnsi="宋体" w:eastAsia="宋体" w:cs="宋体"/>
                <w:kern w:val="0"/>
                <w:sz w:val="18"/>
                <w:szCs w:val="18"/>
              </w:rPr>
              <w:t>1012050</w:t>
            </w:r>
          </w:p>
        </w:tc>
        <w:tc>
          <w:tcPr>
            <w:tcW w:w="1859" w:type="dxa"/>
            <w:gridSpan w:val="2"/>
            <w:tcBorders>
              <w:top w:val="nil"/>
              <w:left w:val="single" w:color="auto" w:sz="4" w:space="0"/>
              <w:bottom w:val="single" w:color="auto" w:sz="4" w:space="0"/>
              <w:right w:val="nil"/>
            </w:tcBorders>
            <w:vAlign w:val="center"/>
          </w:tcPr>
          <w:p w14:paraId="6D9BAAAC">
            <w:pPr>
              <w:widowControl/>
              <w:jc w:val="center"/>
              <w:rPr>
                <w:rFonts w:ascii="宋体" w:hAnsi="宋体" w:eastAsia="宋体" w:cs="宋体"/>
                <w:kern w:val="0"/>
                <w:sz w:val="18"/>
                <w:szCs w:val="18"/>
              </w:rPr>
            </w:pPr>
            <w:r>
              <w:rPr>
                <w:rFonts w:hint="eastAsia" w:ascii="宋体" w:hAnsi="宋体" w:eastAsia="宋体" w:cs="宋体"/>
                <w:kern w:val="0"/>
                <w:sz w:val="18"/>
                <w:szCs w:val="18"/>
              </w:rPr>
              <w:t>心理健康与职业生涯</w:t>
            </w:r>
          </w:p>
        </w:tc>
        <w:tc>
          <w:tcPr>
            <w:tcW w:w="731" w:type="dxa"/>
            <w:tcBorders>
              <w:top w:val="nil"/>
              <w:left w:val="single" w:color="auto" w:sz="4" w:space="0"/>
              <w:bottom w:val="single" w:color="auto" w:sz="4" w:space="0"/>
              <w:right w:val="single" w:color="auto" w:sz="4" w:space="0"/>
            </w:tcBorders>
            <w:vAlign w:val="center"/>
          </w:tcPr>
          <w:p w14:paraId="3CFDDA2F">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2A606BB3">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D425F38">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49243CDE">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51" w:type="dxa"/>
            <w:tcBorders>
              <w:top w:val="nil"/>
              <w:left w:val="nil"/>
              <w:bottom w:val="single" w:color="auto" w:sz="4" w:space="0"/>
              <w:right w:val="single" w:color="auto" w:sz="4" w:space="0"/>
            </w:tcBorders>
            <w:vAlign w:val="center"/>
          </w:tcPr>
          <w:p w14:paraId="6C441D17">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tcBorders>
              <w:top w:val="nil"/>
              <w:left w:val="nil"/>
              <w:bottom w:val="single" w:color="auto" w:sz="4" w:space="0"/>
              <w:right w:val="single" w:color="auto" w:sz="4" w:space="0"/>
            </w:tcBorders>
            <w:vAlign w:val="center"/>
          </w:tcPr>
          <w:p w14:paraId="7C8D2F8C">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vAlign w:val="center"/>
          </w:tcPr>
          <w:p w14:paraId="137676BC">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7" w:type="dxa"/>
            <w:tcBorders>
              <w:top w:val="nil"/>
              <w:left w:val="nil"/>
              <w:bottom w:val="single" w:color="auto" w:sz="4" w:space="0"/>
              <w:right w:val="single" w:color="auto" w:sz="4" w:space="0"/>
            </w:tcBorders>
            <w:vAlign w:val="center"/>
          </w:tcPr>
          <w:p w14:paraId="328EB4D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B706EE3">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A9253B5">
            <w:pPr>
              <w:widowControl/>
              <w:jc w:val="center"/>
              <w:rPr>
                <w:rFonts w:ascii="宋体" w:hAnsi="宋体" w:eastAsia="宋体" w:cs="宋体"/>
                <w:kern w:val="0"/>
                <w:sz w:val="18"/>
                <w:szCs w:val="18"/>
              </w:rPr>
            </w:pPr>
            <w:r>
              <w:rPr>
                <w:rFonts w:hint="eastAsia" w:ascii="宋体" w:hAnsi="宋体" w:cs="宋体"/>
                <w:sz w:val="18"/>
                <w:szCs w:val="18"/>
              </w:rPr>
              <w:t>★</w:t>
            </w:r>
          </w:p>
        </w:tc>
      </w:tr>
      <w:tr w14:paraId="70487D08">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03FE04DA">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437123E9">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0583982E">
            <w:pPr>
              <w:widowControl/>
              <w:jc w:val="center"/>
              <w:rPr>
                <w:rFonts w:ascii="宋体" w:hAnsi="宋体" w:eastAsia="宋体" w:cs="宋体"/>
                <w:kern w:val="0"/>
                <w:sz w:val="18"/>
                <w:szCs w:val="18"/>
              </w:rPr>
            </w:pPr>
            <w:r>
              <w:rPr>
                <w:rFonts w:ascii="宋体" w:hAnsi="宋体" w:eastAsia="宋体" w:cs="宋体"/>
                <w:kern w:val="0"/>
                <w:sz w:val="18"/>
                <w:szCs w:val="18"/>
              </w:rPr>
              <w:t>1011023</w:t>
            </w:r>
          </w:p>
        </w:tc>
        <w:tc>
          <w:tcPr>
            <w:tcW w:w="1859" w:type="dxa"/>
            <w:gridSpan w:val="2"/>
            <w:tcBorders>
              <w:top w:val="nil"/>
              <w:left w:val="single" w:color="auto" w:sz="4" w:space="0"/>
              <w:bottom w:val="single" w:color="auto" w:sz="4" w:space="0"/>
              <w:right w:val="nil"/>
            </w:tcBorders>
            <w:vAlign w:val="center"/>
          </w:tcPr>
          <w:p w14:paraId="6617826E">
            <w:pPr>
              <w:widowControl/>
              <w:jc w:val="center"/>
              <w:rPr>
                <w:rFonts w:ascii="宋体" w:hAnsi="宋体" w:eastAsia="宋体" w:cs="宋体"/>
                <w:kern w:val="0"/>
                <w:sz w:val="18"/>
                <w:szCs w:val="18"/>
              </w:rPr>
            </w:pPr>
            <w:r>
              <w:rPr>
                <w:rFonts w:hint="eastAsia" w:ascii="宋体" w:hAnsi="宋体" w:eastAsia="宋体" w:cs="宋体"/>
                <w:kern w:val="0"/>
                <w:sz w:val="18"/>
                <w:szCs w:val="18"/>
              </w:rPr>
              <w:t>哲学与人生</w:t>
            </w:r>
          </w:p>
        </w:tc>
        <w:tc>
          <w:tcPr>
            <w:tcW w:w="731" w:type="dxa"/>
            <w:tcBorders>
              <w:top w:val="nil"/>
              <w:left w:val="single" w:color="auto" w:sz="4" w:space="0"/>
              <w:bottom w:val="single" w:color="auto" w:sz="4" w:space="0"/>
              <w:right w:val="single" w:color="auto" w:sz="4" w:space="0"/>
            </w:tcBorders>
            <w:vAlign w:val="center"/>
          </w:tcPr>
          <w:p w14:paraId="1D73C52D">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483DB099">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25609174">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0FD7A4F5">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51" w:type="dxa"/>
            <w:tcBorders>
              <w:top w:val="nil"/>
              <w:left w:val="nil"/>
              <w:bottom w:val="single" w:color="auto" w:sz="4" w:space="0"/>
              <w:right w:val="single" w:color="auto" w:sz="4" w:space="0"/>
            </w:tcBorders>
            <w:vAlign w:val="center"/>
          </w:tcPr>
          <w:p w14:paraId="674E51C5">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24" w:type="dxa"/>
            <w:tcBorders>
              <w:top w:val="nil"/>
              <w:left w:val="nil"/>
              <w:bottom w:val="single" w:color="auto" w:sz="4" w:space="0"/>
              <w:right w:val="single" w:color="auto" w:sz="4" w:space="0"/>
            </w:tcBorders>
            <w:vAlign w:val="center"/>
          </w:tcPr>
          <w:p w14:paraId="6E80DB40">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vAlign w:val="center"/>
          </w:tcPr>
          <w:p w14:paraId="3F28847B">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7" w:type="dxa"/>
            <w:tcBorders>
              <w:top w:val="nil"/>
              <w:left w:val="nil"/>
              <w:bottom w:val="single" w:color="auto" w:sz="4" w:space="0"/>
              <w:right w:val="single" w:color="auto" w:sz="4" w:space="0"/>
            </w:tcBorders>
            <w:vAlign w:val="center"/>
          </w:tcPr>
          <w:p w14:paraId="1545A30B">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C8690CD">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5F7DF39">
            <w:pPr>
              <w:widowControl/>
              <w:jc w:val="center"/>
              <w:rPr>
                <w:rFonts w:ascii="宋体" w:hAnsi="宋体" w:eastAsia="宋体" w:cs="宋体"/>
                <w:kern w:val="0"/>
                <w:sz w:val="18"/>
                <w:szCs w:val="18"/>
              </w:rPr>
            </w:pPr>
            <w:r>
              <w:rPr>
                <w:rFonts w:hint="eastAsia" w:ascii="宋体" w:hAnsi="宋体" w:cs="宋体"/>
                <w:sz w:val="18"/>
                <w:szCs w:val="18"/>
              </w:rPr>
              <w:t>★</w:t>
            </w:r>
          </w:p>
        </w:tc>
      </w:tr>
      <w:tr w14:paraId="2CD5A40A">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A09FF81">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3AA90F74">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0F412E3C">
            <w:pPr>
              <w:widowControl/>
              <w:jc w:val="center"/>
              <w:rPr>
                <w:rFonts w:ascii="宋体" w:hAnsi="宋体" w:eastAsia="宋体" w:cs="宋体"/>
                <w:kern w:val="0"/>
                <w:sz w:val="18"/>
                <w:szCs w:val="18"/>
              </w:rPr>
            </w:pPr>
            <w:r>
              <w:rPr>
                <w:rFonts w:ascii="宋体" w:hAnsi="宋体" w:eastAsia="宋体" w:cs="宋体"/>
                <w:kern w:val="0"/>
                <w:sz w:val="18"/>
                <w:szCs w:val="18"/>
              </w:rPr>
              <w:t>101103</w:t>
            </w:r>
            <w:r>
              <w:rPr>
                <w:rFonts w:hint="eastAsia" w:ascii="宋体" w:hAnsi="宋体" w:eastAsia="宋体" w:cs="宋体"/>
                <w:kern w:val="0"/>
                <w:sz w:val="18"/>
                <w:szCs w:val="18"/>
              </w:rPr>
              <w:t>1</w:t>
            </w:r>
          </w:p>
        </w:tc>
        <w:tc>
          <w:tcPr>
            <w:tcW w:w="1859" w:type="dxa"/>
            <w:gridSpan w:val="2"/>
            <w:tcBorders>
              <w:top w:val="nil"/>
              <w:left w:val="single" w:color="auto" w:sz="4" w:space="0"/>
              <w:bottom w:val="single" w:color="auto" w:sz="4" w:space="0"/>
              <w:right w:val="nil"/>
            </w:tcBorders>
            <w:vAlign w:val="center"/>
          </w:tcPr>
          <w:p w14:paraId="170592E8">
            <w:pPr>
              <w:widowControl/>
              <w:jc w:val="center"/>
              <w:rPr>
                <w:rFonts w:ascii="宋体" w:hAnsi="宋体" w:eastAsia="宋体" w:cs="宋体"/>
                <w:kern w:val="0"/>
                <w:sz w:val="18"/>
                <w:szCs w:val="18"/>
              </w:rPr>
            </w:pPr>
            <w:r>
              <w:rPr>
                <w:rFonts w:hint="eastAsia" w:ascii="宋体" w:hAnsi="宋体" w:eastAsia="宋体" w:cs="宋体"/>
                <w:kern w:val="0"/>
                <w:sz w:val="18"/>
                <w:szCs w:val="18"/>
              </w:rPr>
              <w:t>职业道德与法治</w:t>
            </w:r>
          </w:p>
        </w:tc>
        <w:tc>
          <w:tcPr>
            <w:tcW w:w="731" w:type="dxa"/>
            <w:tcBorders>
              <w:top w:val="nil"/>
              <w:left w:val="single" w:color="auto" w:sz="4" w:space="0"/>
              <w:bottom w:val="single" w:color="auto" w:sz="4" w:space="0"/>
              <w:right w:val="single" w:color="auto" w:sz="4" w:space="0"/>
            </w:tcBorders>
            <w:vAlign w:val="center"/>
          </w:tcPr>
          <w:p w14:paraId="03F29F5C">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2F4C18DC">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0DFE8803">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398BAC13">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51" w:type="dxa"/>
            <w:tcBorders>
              <w:top w:val="nil"/>
              <w:left w:val="nil"/>
              <w:bottom w:val="single" w:color="auto" w:sz="4" w:space="0"/>
              <w:right w:val="single" w:color="auto" w:sz="4" w:space="0"/>
            </w:tcBorders>
            <w:vAlign w:val="center"/>
          </w:tcPr>
          <w:p w14:paraId="408469F0">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624" w:type="dxa"/>
            <w:tcBorders>
              <w:top w:val="nil"/>
              <w:left w:val="nil"/>
              <w:bottom w:val="single" w:color="auto" w:sz="4" w:space="0"/>
              <w:right w:val="single" w:color="auto" w:sz="4" w:space="0"/>
            </w:tcBorders>
            <w:vAlign w:val="center"/>
          </w:tcPr>
          <w:p w14:paraId="4AA3874C">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vAlign w:val="center"/>
          </w:tcPr>
          <w:p w14:paraId="6AFD9431">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vAlign w:val="center"/>
          </w:tcPr>
          <w:p w14:paraId="1F61D4B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BA1C26A">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9FCAECD">
            <w:pPr>
              <w:widowControl/>
              <w:jc w:val="center"/>
              <w:rPr>
                <w:rFonts w:ascii="宋体" w:hAnsi="宋体" w:eastAsia="宋体" w:cs="宋体"/>
                <w:kern w:val="0"/>
                <w:sz w:val="18"/>
                <w:szCs w:val="18"/>
              </w:rPr>
            </w:pPr>
            <w:r>
              <w:rPr>
                <w:rFonts w:hint="eastAsia" w:ascii="宋体" w:hAnsi="宋体" w:cs="宋体"/>
                <w:sz w:val="18"/>
                <w:szCs w:val="18"/>
              </w:rPr>
              <w:t>★</w:t>
            </w:r>
          </w:p>
        </w:tc>
      </w:tr>
      <w:tr w14:paraId="641B544A">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605FA9A4">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77BAC791">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2F558ACD">
            <w:pPr>
              <w:widowControl/>
              <w:jc w:val="center"/>
              <w:rPr>
                <w:rFonts w:ascii="宋体" w:hAnsi="宋体" w:eastAsia="宋体" w:cs="宋体"/>
                <w:kern w:val="0"/>
                <w:sz w:val="18"/>
                <w:szCs w:val="18"/>
              </w:rPr>
            </w:pPr>
            <w:r>
              <w:rPr>
                <w:rFonts w:ascii="宋体" w:hAnsi="宋体" w:eastAsia="宋体" w:cs="宋体"/>
                <w:kern w:val="0"/>
                <w:sz w:val="18"/>
                <w:szCs w:val="18"/>
              </w:rPr>
              <w:t>1011020</w:t>
            </w:r>
            <w:r>
              <w:rPr>
                <w:rFonts w:hint="eastAsia" w:ascii="宋体" w:hAnsi="宋体" w:eastAsia="宋体" w:cs="宋体"/>
                <w:kern w:val="0"/>
                <w:sz w:val="18"/>
                <w:szCs w:val="18"/>
              </w:rPr>
              <w:t>-2</w:t>
            </w:r>
          </w:p>
        </w:tc>
        <w:tc>
          <w:tcPr>
            <w:tcW w:w="1859" w:type="dxa"/>
            <w:gridSpan w:val="2"/>
            <w:tcBorders>
              <w:top w:val="nil"/>
              <w:left w:val="single" w:color="auto" w:sz="4" w:space="0"/>
              <w:bottom w:val="single" w:color="auto" w:sz="4" w:space="0"/>
              <w:right w:val="nil"/>
            </w:tcBorders>
            <w:vAlign w:val="center"/>
          </w:tcPr>
          <w:p w14:paraId="4E5DDE57">
            <w:pPr>
              <w:widowControl/>
              <w:jc w:val="center"/>
              <w:rPr>
                <w:rFonts w:ascii="宋体" w:hAnsi="宋体" w:eastAsia="宋体" w:cs="宋体"/>
                <w:kern w:val="0"/>
                <w:sz w:val="18"/>
                <w:szCs w:val="18"/>
              </w:rPr>
            </w:pPr>
            <w:r>
              <w:rPr>
                <w:rFonts w:hint="eastAsia" w:ascii="宋体" w:hAnsi="宋体" w:eastAsia="宋体" w:cs="宋体"/>
                <w:kern w:val="0"/>
                <w:sz w:val="18"/>
                <w:szCs w:val="18"/>
              </w:rPr>
              <w:t>语文</w:t>
            </w:r>
          </w:p>
        </w:tc>
        <w:tc>
          <w:tcPr>
            <w:tcW w:w="731" w:type="dxa"/>
            <w:tcBorders>
              <w:top w:val="nil"/>
              <w:left w:val="single" w:color="auto" w:sz="4" w:space="0"/>
              <w:bottom w:val="single" w:color="auto" w:sz="4" w:space="0"/>
              <w:right w:val="single" w:color="auto" w:sz="4" w:space="0"/>
            </w:tcBorders>
            <w:vAlign w:val="center"/>
          </w:tcPr>
          <w:p w14:paraId="1FC0BE76">
            <w:pPr>
              <w:widowControl/>
              <w:jc w:val="center"/>
              <w:rPr>
                <w:rFonts w:ascii="宋体" w:hAnsi="宋体" w:eastAsia="宋体" w:cs="宋体"/>
                <w:kern w:val="0"/>
                <w:sz w:val="18"/>
                <w:szCs w:val="18"/>
              </w:rPr>
            </w:pPr>
            <w:r>
              <w:rPr>
                <w:rFonts w:hint="eastAsia" w:ascii="宋体" w:hAnsi="宋体" w:eastAsia="宋体" w:cs="宋体"/>
                <w:kern w:val="0"/>
                <w:sz w:val="18"/>
                <w:szCs w:val="18"/>
              </w:rPr>
              <w:t>198</w:t>
            </w:r>
          </w:p>
        </w:tc>
        <w:tc>
          <w:tcPr>
            <w:tcW w:w="613" w:type="dxa"/>
            <w:tcBorders>
              <w:top w:val="nil"/>
              <w:left w:val="nil"/>
              <w:bottom w:val="single" w:color="auto" w:sz="4" w:space="0"/>
              <w:right w:val="single" w:color="auto" w:sz="4" w:space="0"/>
            </w:tcBorders>
            <w:vAlign w:val="center"/>
          </w:tcPr>
          <w:p w14:paraId="5B491CB1">
            <w:pPr>
              <w:adjustRightInd w:val="0"/>
              <w:snapToGrid w:val="0"/>
              <w:ind w:left="21" w:leftChars="10" w:right="21" w:rightChars="10"/>
              <w:jc w:val="center"/>
              <w:rPr>
                <w:rFonts w:ascii="宋体" w:hAnsi="宋体" w:eastAsia="宋体"/>
                <w:kern w:val="0"/>
                <w:sz w:val="18"/>
                <w:szCs w:val="18"/>
              </w:rPr>
            </w:pPr>
            <w:r>
              <w:rPr>
                <w:rFonts w:ascii="宋体" w:hAnsi="宋体" w:eastAsia="宋体"/>
                <w:kern w:val="0"/>
                <w:sz w:val="18"/>
                <w:szCs w:val="18"/>
              </w:rPr>
              <w:t>11</w:t>
            </w:r>
          </w:p>
        </w:tc>
        <w:tc>
          <w:tcPr>
            <w:tcW w:w="705" w:type="dxa"/>
            <w:tcBorders>
              <w:top w:val="nil"/>
              <w:left w:val="single" w:color="auto" w:sz="4" w:space="0"/>
              <w:bottom w:val="single" w:color="auto" w:sz="4" w:space="0"/>
              <w:right w:val="single" w:color="auto" w:sz="4" w:space="0"/>
            </w:tcBorders>
            <w:vAlign w:val="center"/>
          </w:tcPr>
          <w:p w14:paraId="46B79AC9">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5</w:t>
            </w:r>
            <w:r>
              <w:rPr>
                <w:rFonts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20E89B17">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51" w:type="dxa"/>
            <w:tcBorders>
              <w:top w:val="nil"/>
              <w:left w:val="nil"/>
              <w:bottom w:val="single" w:color="auto" w:sz="4" w:space="0"/>
              <w:right w:val="single" w:color="auto" w:sz="4" w:space="0"/>
            </w:tcBorders>
            <w:vAlign w:val="center"/>
          </w:tcPr>
          <w:p w14:paraId="1540402C">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24" w:type="dxa"/>
            <w:tcBorders>
              <w:top w:val="nil"/>
              <w:left w:val="nil"/>
              <w:bottom w:val="single" w:color="auto" w:sz="4" w:space="0"/>
              <w:right w:val="single" w:color="auto" w:sz="4" w:space="0"/>
            </w:tcBorders>
            <w:vAlign w:val="center"/>
          </w:tcPr>
          <w:p w14:paraId="16901F44">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09" w:type="dxa"/>
            <w:tcBorders>
              <w:top w:val="nil"/>
              <w:left w:val="nil"/>
              <w:bottom w:val="single" w:color="auto" w:sz="4" w:space="0"/>
              <w:right w:val="single" w:color="auto" w:sz="4" w:space="0"/>
            </w:tcBorders>
            <w:vAlign w:val="center"/>
          </w:tcPr>
          <w:p w14:paraId="3569909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ACB3547">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473D20D">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7D2E725C">
            <w:pPr>
              <w:widowControl/>
              <w:jc w:val="center"/>
              <w:rPr>
                <w:rFonts w:ascii="宋体" w:hAnsi="宋体" w:eastAsia="宋体" w:cs="宋体"/>
                <w:kern w:val="0"/>
                <w:sz w:val="18"/>
                <w:szCs w:val="18"/>
              </w:rPr>
            </w:pPr>
            <w:r>
              <w:rPr>
                <w:rFonts w:hint="eastAsia" w:ascii="宋体" w:hAnsi="宋体" w:cs="宋体"/>
                <w:sz w:val="18"/>
                <w:szCs w:val="18"/>
              </w:rPr>
              <w:t>★</w:t>
            </w:r>
          </w:p>
        </w:tc>
      </w:tr>
      <w:tr w14:paraId="04A0885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01F86BD">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5E7E7B97">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3A8CB7B6">
            <w:pPr>
              <w:widowControl/>
              <w:jc w:val="center"/>
              <w:rPr>
                <w:rFonts w:ascii="宋体" w:hAnsi="宋体" w:eastAsia="宋体" w:cs="宋体"/>
                <w:kern w:val="0"/>
                <w:sz w:val="18"/>
                <w:szCs w:val="18"/>
              </w:rPr>
            </w:pPr>
            <w:r>
              <w:rPr>
                <w:rFonts w:ascii="宋体" w:hAnsi="宋体" w:eastAsia="宋体" w:cs="宋体"/>
                <w:kern w:val="0"/>
                <w:sz w:val="18"/>
                <w:szCs w:val="18"/>
              </w:rPr>
              <w:t>101103</w:t>
            </w:r>
            <w:r>
              <w:rPr>
                <w:rFonts w:hint="eastAsia" w:ascii="宋体" w:hAnsi="宋体" w:eastAsia="宋体" w:cs="宋体"/>
                <w:kern w:val="0"/>
                <w:sz w:val="18"/>
                <w:szCs w:val="18"/>
              </w:rPr>
              <w:t>2</w:t>
            </w:r>
          </w:p>
        </w:tc>
        <w:tc>
          <w:tcPr>
            <w:tcW w:w="1859" w:type="dxa"/>
            <w:gridSpan w:val="2"/>
            <w:tcBorders>
              <w:top w:val="nil"/>
              <w:left w:val="single" w:color="auto" w:sz="4" w:space="0"/>
              <w:bottom w:val="single" w:color="auto" w:sz="4" w:space="0"/>
              <w:right w:val="nil"/>
            </w:tcBorders>
            <w:vAlign w:val="center"/>
          </w:tcPr>
          <w:p w14:paraId="29D83093">
            <w:pPr>
              <w:widowControl/>
              <w:jc w:val="center"/>
              <w:rPr>
                <w:rFonts w:ascii="宋体" w:hAnsi="宋体" w:eastAsia="宋体" w:cs="宋体"/>
                <w:kern w:val="0"/>
                <w:sz w:val="18"/>
                <w:szCs w:val="18"/>
              </w:rPr>
            </w:pPr>
            <w:r>
              <w:rPr>
                <w:rFonts w:hint="eastAsia" w:ascii="宋体" w:hAnsi="宋体" w:eastAsia="宋体" w:cs="宋体"/>
                <w:kern w:val="0"/>
                <w:sz w:val="18"/>
                <w:szCs w:val="18"/>
              </w:rPr>
              <w:t>历史</w:t>
            </w:r>
          </w:p>
        </w:tc>
        <w:tc>
          <w:tcPr>
            <w:tcW w:w="731" w:type="dxa"/>
            <w:tcBorders>
              <w:top w:val="nil"/>
              <w:left w:val="single" w:color="auto" w:sz="4" w:space="0"/>
              <w:bottom w:val="single" w:color="auto" w:sz="4" w:space="0"/>
              <w:right w:val="single" w:color="auto" w:sz="4" w:space="0"/>
            </w:tcBorders>
            <w:vAlign w:val="center"/>
          </w:tcPr>
          <w:p w14:paraId="54AE1648">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613" w:type="dxa"/>
            <w:tcBorders>
              <w:top w:val="nil"/>
              <w:left w:val="nil"/>
              <w:bottom w:val="single" w:color="auto" w:sz="4" w:space="0"/>
              <w:right w:val="single" w:color="auto" w:sz="4" w:space="0"/>
            </w:tcBorders>
            <w:vAlign w:val="center"/>
          </w:tcPr>
          <w:p w14:paraId="23452934">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4</w:t>
            </w:r>
          </w:p>
        </w:tc>
        <w:tc>
          <w:tcPr>
            <w:tcW w:w="705" w:type="dxa"/>
            <w:tcBorders>
              <w:top w:val="nil"/>
              <w:left w:val="single" w:color="auto" w:sz="4" w:space="0"/>
              <w:bottom w:val="single" w:color="auto" w:sz="4" w:space="0"/>
              <w:right w:val="single" w:color="auto" w:sz="4" w:space="0"/>
            </w:tcBorders>
            <w:vAlign w:val="center"/>
          </w:tcPr>
          <w:p w14:paraId="7259D247">
            <w:pPr>
              <w:adjustRightInd w:val="0"/>
              <w:snapToGrid w:val="0"/>
              <w:ind w:left="21" w:leftChars="10" w:right="21" w:rightChars="10"/>
              <w:jc w:val="center"/>
              <w:rPr>
                <w:rFonts w:ascii="宋体" w:hAnsi="宋体" w:eastAsia="宋体"/>
                <w:kern w:val="0"/>
                <w:sz w:val="18"/>
                <w:szCs w:val="18"/>
              </w:rPr>
            </w:pPr>
            <w:r>
              <w:rPr>
                <w:rFonts w:ascii="宋体" w:hAnsi="宋体" w:eastAsia="宋体"/>
                <w:kern w:val="0"/>
                <w:sz w:val="18"/>
                <w:szCs w:val="18"/>
              </w:rPr>
              <w:t>8</w:t>
            </w:r>
          </w:p>
        </w:tc>
        <w:tc>
          <w:tcPr>
            <w:tcW w:w="487" w:type="dxa"/>
            <w:tcBorders>
              <w:top w:val="nil"/>
              <w:left w:val="nil"/>
              <w:bottom w:val="single" w:color="auto" w:sz="4" w:space="0"/>
              <w:right w:val="single" w:color="auto" w:sz="4" w:space="0"/>
            </w:tcBorders>
            <w:vAlign w:val="center"/>
          </w:tcPr>
          <w:p w14:paraId="470710BE">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51" w:type="dxa"/>
            <w:tcBorders>
              <w:top w:val="nil"/>
              <w:left w:val="nil"/>
              <w:bottom w:val="single" w:color="auto" w:sz="4" w:space="0"/>
              <w:right w:val="single" w:color="auto" w:sz="4" w:space="0"/>
            </w:tcBorders>
            <w:vAlign w:val="center"/>
          </w:tcPr>
          <w:p w14:paraId="70897DC5">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tcBorders>
              <w:top w:val="nil"/>
              <w:left w:val="nil"/>
              <w:bottom w:val="single" w:color="auto" w:sz="4" w:space="0"/>
              <w:right w:val="single" w:color="auto" w:sz="4" w:space="0"/>
            </w:tcBorders>
            <w:vAlign w:val="center"/>
          </w:tcPr>
          <w:p w14:paraId="152DF2E2">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1CF52B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68A9F5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E5AC706">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797F1C8">
            <w:pPr>
              <w:widowControl/>
              <w:jc w:val="center"/>
              <w:rPr>
                <w:rFonts w:ascii="宋体" w:hAnsi="宋体" w:eastAsia="宋体" w:cs="宋体"/>
                <w:kern w:val="0"/>
                <w:sz w:val="18"/>
                <w:szCs w:val="18"/>
              </w:rPr>
            </w:pPr>
            <w:r>
              <w:rPr>
                <w:rFonts w:hint="eastAsia" w:ascii="宋体" w:hAnsi="宋体" w:cs="宋体"/>
                <w:sz w:val="18"/>
                <w:szCs w:val="18"/>
              </w:rPr>
              <w:t>★</w:t>
            </w:r>
          </w:p>
        </w:tc>
      </w:tr>
      <w:tr w14:paraId="2937E87B">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62781E07">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2F427917">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5C74B7C3">
            <w:pPr>
              <w:widowControl/>
              <w:jc w:val="center"/>
              <w:rPr>
                <w:rFonts w:ascii="宋体" w:hAnsi="宋体" w:eastAsia="宋体" w:cs="宋体"/>
                <w:kern w:val="0"/>
                <w:sz w:val="18"/>
                <w:szCs w:val="18"/>
              </w:rPr>
            </w:pPr>
            <w:r>
              <w:rPr>
                <w:rFonts w:ascii="宋体" w:hAnsi="宋体" w:eastAsia="宋体" w:cs="宋体"/>
                <w:kern w:val="0"/>
                <w:sz w:val="18"/>
                <w:szCs w:val="18"/>
              </w:rPr>
              <w:t>1011008</w:t>
            </w:r>
            <w:r>
              <w:rPr>
                <w:rFonts w:hint="eastAsia" w:ascii="宋体" w:hAnsi="宋体" w:eastAsia="宋体" w:cs="宋体"/>
                <w:kern w:val="0"/>
                <w:sz w:val="18"/>
                <w:szCs w:val="18"/>
              </w:rPr>
              <w:t>-11</w:t>
            </w:r>
          </w:p>
        </w:tc>
        <w:tc>
          <w:tcPr>
            <w:tcW w:w="1859" w:type="dxa"/>
            <w:gridSpan w:val="2"/>
            <w:tcBorders>
              <w:top w:val="nil"/>
              <w:left w:val="single" w:color="auto" w:sz="4" w:space="0"/>
              <w:bottom w:val="single" w:color="auto" w:sz="4" w:space="0"/>
              <w:right w:val="nil"/>
            </w:tcBorders>
            <w:vAlign w:val="center"/>
          </w:tcPr>
          <w:p w14:paraId="3AE1902D">
            <w:pPr>
              <w:widowControl/>
              <w:jc w:val="center"/>
              <w:rPr>
                <w:rFonts w:ascii="宋体" w:hAnsi="宋体" w:eastAsia="宋体" w:cs="宋体"/>
                <w:kern w:val="0"/>
                <w:sz w:val="18"/>
                <w:szCs w:val="18"/>
              </w:rPr>
            </w:pPr>
            <w:r>
              <w:rPr>
                <w:rFonts w:hint="eastAsia" w:ascii="宋体" w:hAnsi="宋体" w:eastAsia="宋体" w:cs="宋体"/>
                <w:kern w:val="0"/>
                <w:sz w:val="18"/>
                <w:szCs w:val="18"/>
              </w:rPr>
              <w:t>数学</w:t>
            </w:r>
          </w:p>
        </w:tc>
        <w:tc>
          <w:tcPr>
            <w:tcW w:w="731" w:type="dxa"/>
            <w:tcBorders>
              <w:top w:val="nil"/>
              <w:left w:val="single" w:color="auto" w:sz="4" w:space="0"/>
              <w:bottom w:val="single" w:color="auto" w:sz="4" w:space="0"/>
              <w:right w:val="single" w:color="auto" w:sz="4" w:space="0"/>
            </w:tcBorders>
            <w:vAlign w:val="center"/>
          </w:tcPr>
          <w:p w14:paraId="131A39C4">
            <w:pPr>
              <w:widowControl/>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613" w:type="dxa"/>
            <w:tcBorders>
              <w:top w:val="nil"/>
              <w:left w:val="nil"/>
              <w:bottom w:val="single" w:color="auto" w:sz="4" w:space="0"/>
              <w:right w:val="single" w:color="auto" w:sz="4" w:space="0"/>
            </w:tcBorders>
            <w:vAlign w:val="center"/>
          </w:tcPr>
          <w:p w14:paraId="78723E9B">
            <w:pPr>
              <w:adjustRightInd w:val="0"/>
              <w:snapToGrid w:val="0"/>
              <w:ind w:left="21" w:leftChars="10" w:right="21" w:rightChars="10"/>
              <w:jc w:val="center"/>
              <w:rPr>
                <w:rFonts w:ascii="宋体" w:hAnsi="宋体" w:eastAsia="宋体"/>
                <w:kern w:val="0"/>
                <w:sz w:val="18"/>
                <w:szCs w:val="18"/>
              </w:rPr>
            </w:pPr>
            <w:r>
              <w:rPr>
                <w:rFonts w:ascii="宋体" w:hAnsi="宋体" w:eastAsia="宋体"/>
                <w:kern w:val="0"/>
                <w:sz w:val="18"/>
                <w:szCs w:val="18"/>
              </w:rPr>
              <w:t>8</w:t>
            </w:r>
          </w:p>
        </w:tc>
        <w:tc>
          <w:tcPr>
            <w:tcW w:w="705" w:type="dxa"/>
            <w:tcBorders>
              <w:top w:val="nil"/>
              <w:left w:val="single" w:color="auto" w:sz="4" w:space="0"/>
              <w:bottom w:val="single" w:color="auto" w:sz="4" w:space="0"/>
              <w:right w:val="single" w:color="auto" w:sz="4" w:space="0"/>
            </w:tcBorders>
            <w:vAlign w:val="center"/>
          </w:tcPr>
          <w:p w14:paraId="08744E40">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3</w:t>
            </w:r>
            <w:r>
              <w:rPr>
                <w:rFonts w:ascii="宋体" w:hAnsi="宋体" w:eastAsia="宋体"/>
                <w:kern w:val="0"/>
                <w:sz w:val="18"/>
                <w:szCs w:val="18"/>
              </w:rPr>
              <w:t>6</w:t>
            </w:r>
          </w:p>
        </w:tc>
        <w:tc>
          <w:tcPr>
            <w:tcW w:w="487" w:type="dxa"/>
            <w:tcBorders>
              <w:top w:val="nil"/>
              <w:left w:val="nil"/>
              <w:bottom w:val="single" w:color="auto" w:sz="4" w:space="0"/>
              <w:right w:val="single" w:color="auto" w:sz="4" w:space="0"/>
            </w:tcBorders>
            <w:vAlign w:val="center"/>
          </w:tcPr>
          <w:p w14:paraId="3D162D67">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51" w:type="dxa"/>
            <w:tcBorders>
              <w:top w:val="nil"/>
              <w:left w:val="nil"/>
              <w:bottom w:val="single" w:color="auto" w:sz="4" w:space="0"/>
              <w:right w:val="single" w:color="auto" w:sz="4" w:space="0"/>
            </w:tcBorders>
            <w:vAlign w:val="center"/>
          </w:tcPr>
          <w:p w14:paraId="4EC700EE">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24" w:type="dxa"/>
            <w:tcBorders>
              <w:top w:val="nil"/>
              <w:left w:val="nil"/>
              <w:bottom w:val="single" w:color="auto" w:sz="4" w:space="0"/>
              <w:right w:val="single" w:color="auto" w:sz="4" w:space="0"/>
            </w:tcBorders>
            <w:vAlign w:val="center"/>
          </w:tcPr>
          <w:p w14:paraId="15FE1D8B">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2C54FC3C">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68CC065">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0C87B51">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6BF2B96">
            <w:pPr>
              <w:widowControl/>
              <w:jc w:val="center"/>
              <w:rPr>
                <w:rFonts w:ascii="宋体" w:hAnsi="宋体" w:eastAsia="宋体" w:cs="宋体"/>
                <w:kern w:val="0"/>
                <w:sz w:val="18"/>
                <w:szCs w:val="18"/>
              </w:rPr>
            </w:pPr>
            <w:r>
              <w:rPr>
                <w:rFonts w:hint="eastAsia" w:ascii="宋体" w:hAnsi="宋体" w:cs="宋体"/>
                <w:sz w:val="18"/>
                <w:szCs w:val="18"/>
              </w:rPr>
              <w:t>★</w:t>
            </w:r>
          </w:p>
        </w:tc>
      </w:tr>
      <w:tr w14:paraId="46D8697F">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8572CDC">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0870EBDB">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7C97418A">
            <w:pPr>
              <w:widowControl/>
              <w:jc w:val="center"/>
              <w:rPr>
                <w:rFonts w:ascii="宋体" w:hAnsi="宋体" w:eastAsia="宋体" w:cs="宋体"/>
                <w:kern w:val="0"/>
                <w:sz w:val="18"/>
                <w:szCs w:val="18"/>
              </w:rPr>
            </w:pPr>
            <w:r>
              <w:rPr>
                <w:rFonts w:ascii="宋体" w:hAnsi="宋体" w:eastAsia="宋体" w:cs="宋体"/>
                <w:kern w:val="0"/>
                <w:sz w:val="18"/>
                <w:szCs w:val="18"/>
              </w:rPr>
              <w:t>1011016</w:t>
            </w:r>
            <w:r>
              <w:rPr>
                <w:rFonts w:hint="eastAsia" w:ascii="宋体" w:hAnsi="宋体" w:eastAsia="宋体" w:cs="宋体"/>
                <w:kern w:val="0"/>
                <w:sz w:val="18"/>
                <w:szCs w:val="18"/>
              </w:rPr>
              <w:t>-19</w:t>
            </w:r>
          </w:p>
        </w:tc>
        <w:tc>
          <w:tcPr>
            <w:tcW w:w="1859" w:type="dxa"/>
            <w:gridSpan w:val="2"/>
            <w:tcBorders>
              <w:top w:val="nil"/>
              <w:left w:val="single" w:color="auto" w:sz="4" w:space="0"/>
              <w:bottom w:val="single" w:color="auto" w:sz="4" w:space="0"/>
              <w:right w:val="nil"/>
            </w:tcBorders>
            <w:vAlign w:val="center"/>
          </w:tcPr>
          <w:p w14:paraId="64CA63A8">
            <w:pPr>
              <w:widowControl/>
              <w:jc w:val="center"/>
              <w:rPr>
                <w:rFonts w:ascii="宋体" w:hAnsi="宋体" w:eastAsia="宋体" w:cs="宋体"/>
                <w:kern w:val="0"/>
                <w:sz w:val="18"/>
                <w:szCs w:val="18"/>
              </w:rPr>
            </w:pPr>
            <w:r>
              <w:rPr>
                <w:rFonts w:hint="eastAsia" w:ascii="宋体" w:hAnsi="宋体" w:eastAsia="宋体" w:cs="宋体"/>
                <w:kern w:val="0"/>
                <w:sz w:val="18"/>
                <w:szCs w:val="18"/>
              </w:rPr>
              <w:t>英语</w:t>
            </w:r>
          </w:p>
        </w:tc>
        <w:tc>
          <w:tcPr>
            <w:tcW w:w="731" w:type="dxa"/>
            <w:tcBorders>
              <w:top w:val="nil"/>
              <w:left w:val="single" w:color="auto" w:sz="4" w:space="0"/>
              <w:bottom w:val="single" w:color="auto" w:sz="4" w:space="0"/>
              <w:right w:val="single" w:color="auto" w:sz="4" w:space="0"/>
            </w:tcBorders>
            <w:vAlign w:val="center"/>
          </w:tcPr>
          <w:p w14:paraId="04A4CE21">
            <w:pPr>
              <w:widowControl/>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613" w:type="dxa"/>
            <w:tcBorders>
              <w:top w:val="nil"/>
              <w:left w:val="nil"/>
              <w:bottom w:val="single" w:color="auto" w:sz="4" w:space="0"/>
              <w:right w:val="single" w:color="auto" w:sz="4" w:space="0"/>
            </w:tcBorders>
            <w:vAlign w:val="center"/>
          </w:tcPr>
          <w:p w14:paraId="03776729">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8</w:t>
            </w:r>
          </w:p>
        </w:tc>
        <w:tc>
          <w:tcPr>
            <w:tcW w:w="705" w:type="dxa"/>
            <w:tcBorders>
              <w:top w:val="nil"/>
              <w:left w:val="single" w:color="auto" w:sz="4" w:space="0"/>
              <w:bottom w:val="single" w:color="auto" w:sz="4" w:space="0"/>
              <w:right w:val="single" w:color="auto" w:sz="4" w:space="0"/>
            </w:tcBorders>
            <w:vAlign w:val="center"/>
          </w:tcPr>
          <w:p w14:paraId="47F009FC">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3</w:t>
            </w:r>
            <w:r>
              <w:rPr>
                <w:rFonts w:ascii="宋体" w:hAnsi="宋体" w:eastAsia="宋体"/>
                <w:kern w:val="0"/>
                <w:sz w:val="18"/>
                <w:szCs w:val="18"/>
              </w:rPr>
              <w:t>6</w:t>
            </w:r>
          </w:p>
        </w:tc>
        <w:tc>
          <w:tcPr>
            <w:tcW w:w="487" w:type="dxa"/>
            <w:tcBorders>
              <w:top w:val="nil"/>
              <w:left w:val="nil"/>
              <w:bottom w:val="single" w:color="auto" w:sz="4" w:space="0"/>
              <w:right w:val="single" w:color="auto" w:sz="4" w:space="0"/>
            </w:tcBorders>
            <w:vAlign w:val="center"/>
          </w:tcPr>
          <w:p w14:paraId="7A428D04">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51" w:type="dxa"/>
            <w:tcBorders>
              <w:top w:val="nil"/>
              <w:left w:val="nil"/>
              <w:bottom w:val="nil"/>
              <w:right w:val="single" w:color="auto" w:sz="4" w:space="0"/>
            </w:tcBorders>
            <w:vAlign w:val="center"/>
          </w:tcPr>
          <w:p w14:paraId="5E5547B4">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24" w:type="dxa"/>
            <w:tcBorders>
              <w:top w:val="nil"/>
              <w:left w:val="nil"/>
              <w:bottom w:val="single" w:color="auto" w:sz="4" w:space="0"/>
              <w:right w:val="single" w:color="auto" w:sz="4" w:space="0"/>
            </w:tcBorders>
            <w:vAlign w:val="center"/>
          </w:tcPr>
          <w:p w14:paraId="12BF41E5">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0C730189">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B677CC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87C15EA">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AB0E67C">
            <w:pPr>
              <w:widowControl/>
              <w:jc w:val="center"/>
              <w:rPr>
                <w:rFonts w:ascii="宋体" w:hAnsi="宋体" w:eastAsia="宋体" w:cs="宋体"/>
                <w:kern w:val="0"/>
                <w:sz w:val="18"/>
                <w:szCs w:val="18"/>
              </w:rPr>
            </w:pPr>
            <w:r>
              <w:rPr>
                <w:rFonts w:hint="eastAsia" w:ascii="宋体" w:hAnsi="宋体" w:cs="宋体"/>
                <w:sz w:val="18"/>
                <w:szCs w:val="18"/>
              </w:rPr>
              <w:t>★</w:t>
            </w:r>
          </w:p>
        </w:tc>
      </w:tr>
      <w:tr w14:paraId="7C01DE19">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7BC1A5A">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611C2BB1">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402941FB">
            <w:pPr>
              <w:widowControl/>
              <w:jc w:val="center"/>
              <w:rPr>
                <w:rFonts w:ascii="宋体" w:hAnsi="宋体" w:eastAsia="宋体" w:cs="宋体"/>
                <w:kern w:val="0"/>
                <w:sz w:val="18"/>
                <w:szCs w:val="18"/>
              </w:rPr>
            </w:pPr>
            <w:r>
              <w:rPr>
                <w:rFonts w:ascii="宋体" w:hAnsi="宋体" w:eastAsia="宋体" w:cs="宋体"/>
                <w:kern w:val="0"/>
                <w:sz w:val="18"/>
                <w:szCs w:val="18"/>
              </w:rPr>
              <w:t>101205</w:t>
            </w:r>
            <w:r>
              <w:rPr>
                <w:rFonts w:hint="eastAsia" w:ascii="宋体" w:hAnsi="宋体" w:eastAsia="宋体" w:cs="宋体"/>
                <w:kern w:val="0"/>
                <w:sz w:val="18"/>
                <w:szCs w:val="18"/>
              </w:rPr>
              <w:t>2</w:t>
            </w:r>
          </w:p>
        </w:tc>
        <w:tc>
          <w:tcPr>
            <w:tcW w:w="1859" w:type="dxa"/>
            <w:gridSpan w:val="2"/>
            <w:tcBorders>
              <w:top w:val="nil"/>
              <w:left w:val="single" w:color="auto" w:sz="4" w:space="0"/>
              <w:bottom w:val="single" w:color="auto" w:sz="4" w:space="0"/>
              <w:right w:val="nil"/>
            </w:tcBorders>
            <w:vAlign w:val="center"/>
          </w:tcPr>
          <w:p w14:paraId="055EAA3E">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信息技术</w:t>
            </w:r>
          </w:p>
        </w:tc>
        <w:tc>
          <w:tcPr>
            <w:tcW w:w="731" w:type="dxa"/>
            <w:tcBorders>
              <w:top w:val="nil"/>
              <w:left w:val="single" w:color="auto" w:sz="4" w:space="0"/>
              <w:bottom w:val="single" w:color="auto" w:sz="4" w:space="0"/>
              <w:right w:val="single" w:color="auto" w:sz="4" w:space="0"/>
            </w:tcBorders>
            <w:vAlign w:val="center"/>
          </w:tcPr>
          <w:p w14:paraId="0980177D">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ascii="宋体" w:hAnsi="宋体" w:eastAsia="宋体" w:cs="宋体"/>
                <w:color w:val="000000" w:themeColor="text1"/>
                <w:kern w:val="0"/>
                <w:sz w:val="18"/>
                <w:szCs w:val="18"/>
                <w14:textFill>
                  <w14:solidFill>
                    <w14:schemeClr w14:val="tx1"/>
                  </w14:solidFill>
                </w14:textFill>
              </w:rPr>
              <w:t>08</w:t>
            </w:r>
          </w:p>
        </w:tc>
        <w:tc>
          <w:tcPr>
            <w:tcW w:w="613" w:type="dxa"/>
            <w:tcBorders>
              <w:top w:val="nil"/>
              <w:left w:val="nil"/>
              <w:bottom w:val="single" w:color="auto" w:sz="4" w:space="0"/>
              <w:right w:val="single" w:color="auto" w:sz="4" w:space="0"/>
            </w:tcBorders>
            <w:vAlign w:val="center"/>
          </w:tcPr>
          <w:p w14:paraId="1BB0CAE2">
            <w:pPr>
              <w:adjustRightInd w:val="0"/>
              <w:snapToGrid w:val="0"/>
              <w:ind w:left="21" w:leftChars="10" w:right="21" w:rightChars="10"/>
              <w:jc w:val="center"/>
              <w:rPr>
                <w:rFonts w:ascii="宋体" w:hAnsi="宋体" w:eastAsia="宋体"/>
                <w:color w:val="000000" w:themeColor="text1"/>
                <w:kern w:val="0"/>
                <w:sz w:val="18"/>
                <w:szCs w:val="18"/>
                <w14:textFill>
                  <w14:solidFill>
                    <w14:schemeClr w14:val="tx1"/>
                  </w14:solidFill>
                </w14:textFill>
              </w:rPr>
            </w:pPr>
            <w:r>
              <w:rPr>
                <w:rFonts w:ascii="宋体" w:hAnsi="宋体" w:eastAsia="宋体"/>
                <w:color w:val="000000" w:themeColor="text1"/>
                <w:kern w:val="0"/>
                <w:sz w:val="18"/>
                <w:szCs w:val="18"/>
                <w14:textFill>
                  <w14:solidFill>
                    <w14:schemeClr w14:val="tx1"/>
                  </w14:solidFill>
                </w14:textFill>
              </w:rPr>
              <w:t>6</w:t>
            </w:r>
          </w:p>
        </w:tc>
        <w:tc>
          <w:tcPr>
            <w:tcW w:w="705" w:type="dxa"/>
            <w:tcBorders>
              <w:top w:val="nil"/>
              <w:left w:val="single" w:color="auto" w:sz="4" w:space="0"/>
              <w:bottom w:val="single" w:color="auto" w:sz="4" w:space="0"/>
              <w:right w:val="single" w:color="auto" w:sz="4" w:space="0"/>
            </w:tcBorders>
            <w:vAlign w:val="center"/>
          </w:tcPr>
          <w:p w14:paraId="18176AA1">
            <w:pPr>
              <w:adjustRightInd w:val="0"/>
              <w:snapToGrid w:val="0"/>
              <w:ind w:left="21" w:leftChars="10" w:right="21" w:rightChars="10"/>
              <w:jc w:val="center"/>
              <w:rPr>
                <w:rFonts w:ascii="宋体" w:hAnsi="宋体" w:eastAsia="宋体"/>
                <w:color w:val="000000" w:themeColor="text1"/>
                <w:kern w:val="0"/>
                <w:sz w:val="18"/>
                <w:szCs w:val="18"/>
                <w14:textFill>
                  <w14:solidFill>
                    <w14:schemeClr w14:val="tx1"/>
                  </w14:solidFill>
                </w14:textFill>
              </w:rPr>
            </w:pPr>
            <w:r>
              <w:rPr>
                <w:rFonts w:hint="eastAsia" w:ascii="宋体" w:hAnsi="宋体" w:eastAsia="宋体"/>
                <w:color w:val="000000" w:themeColor="text1"/>
                <w:kern w:val="0"/>
                <w:sz w:val="18"/>
                <w:szCs w:val="18"/>
                <w14:textFill>
                  <w14:solidFill>
                    <w14:schemeClr w14:val="tx1"/>
                  </w14:solidFill>
                </w14:textFill>
              </w:rPr>
              <w:t>7</w:t>
            </w:r>
            <w:r>
              <w:rPr>
                <w:rFonts w:ascii="宋体" w:hAnsi="宋体" w:eastAsia="宋体"/>
                <w:color w:val="000000" w:themeColor="text1"/>
                <w:kern w:val="0"/>
                <w:sz w:val="18"/>
                <w:szCs w:val="18"/>
                <w14:textFill>
                  <w14:solidFill>
                    <w14:schemeClr w14:val="tx1"/>
                  </w14:solidFill>
                </w14:textFill>
              </w:rPr>
              <w:t>2</w:t>
            </w:r>
          </w:p>
        </w:tc>
        <w:tc>
          <w:tcPr>
            <w:tcW w:w="487" w:type="dxa"/>
            <w:tcBorders>
              <w:top w:val="nil"/>
              <w:left w:val="nil"/>
              <w:bottom w:val="single" w:color="auto" w:sz="4" w:space="0"/>
              <w:right w:val="single" w:color="auto" w:sz="4" w:space="0"/>
            </w:tcBorders>
            <w:vAlign w:val="center"/>
          </w:tcPr>
          <w:p w14:paraId="35C829D6">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4</w:t>
            </w:r>
          </w:p>
        </w:tc>
        <w:tc>
          <w:tcPr>
            <w:tcW w:w="651" w:type="dxa"/>
            <w:tcBorders>
              <w:top w:val="single" w:color="auto" w:sz="4" w:space="0"/>
              <w:left w:val="nil"/>
              <w:bottom w:val="single" w:color="auto" w:sz="4" w:space="0"/>
              <w:right w:val="single" w:color="auto" w:sz="4" w:space="0"/>
            </w:tcBorders>
            <w:vAlign w:val="center"/>
          </w:tcPr>
          <w:p w14:paraId="02F1B1A8">
            <w:pPr>
              <w:widowControl/>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2</w:t>
            </w:r>
          </w:p>
        </w:tc>
        <w:tc>
          <w:tcPr>
            <w:tcW w:w="624" w:type="dxa"/>
            <w:tcBorders>
              <w:top w:val="nil"/>
              <w:left w:val="nil"/>
              <w:bottom w:val="single" w:color="auto" w:sz="4" w:space="0"/>
              <w:right w:val="single" w:color="auto" w:sz="4" w:space="0"/>
            </w:tcBorders>
            <w:vAlign w:val="center"/>
          </w:tcPr>
          <w:p w14:paraId="0BDA28A7">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00C51967">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6221A6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242602A">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3B9D02B">
            <w:pPr>
              <w:widowControl/>
              <w:jc w:val="center"/>
              <w:rPr>
                <w:rFonts w:ascii="宋体" w:hAnsi="宋体" w:eastAsia="宋体" w:cs="宋体"/>
                <w:kern w:val="0"/>
                <w:sz w:val="18"/>
                <w:szCs w:val="18"/>
              </w:rPr>
            </w:pPr>
            <w:r>
              <w:rPr>
                <w:rFonts w:hint="eastAsia" w:ascii="宋体" w:hAnsi="宋体" w:cs="宋体"/>
                <w:sz w:val="18"/>
                <w:szCs w:val="18"/>
              </w:rPr>
              <w:t>★</w:t>
            </w:r>
          </w:p>
        </w:tc>
      </w:tr>
      <w:tr w14:paraId="2955383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190333A4">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0C9952A0">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64BCFA49">
            <w:pPr>
              <w:widowControl/>
              <w:jc w:val="center"/>
              <w:rPr>
                <w:rFonts w:ascii="宋体" w:hAnsi="宋体" w:eastAsia="宋体" w:cs="宋体"/>
                <w:kern w:val="0"/>
                <w:sz w:val="18"/>
                <w:szCs w:val="18"/>
              </w:rPr>
            </w:pPr>
            <w:r>
              <w:rPr>
                <w:rFonts w:ascii="宋体" w:hAnsi="宋体" w:eastAsia="宋体" w:cs="宋体"/>
                <w:kern w:val="0"/>
                <w:sz w:val="18"/>
                <w:szCs w:val="18"/>
              </w:rPr>
              <w:t>101205</w:t>
            </w:r>
            <w:r>
              <w:rPr>
                <w:rFonts w:hint="eastAsia" w:ascii="宋体" w:hAnsi="宋体" w:eastAsia="宋体" w:cs="宋体"/>
                <w:kern w:val="0"/>
                <w:sz w:val="18"/>
                <w:szCs w:val="18"/>
              </w:rPr>
              <w:t>3</w:t>
            </w:r>
          </w:p>
        </w:tc>
        <w:tc>
          <w:tcPr>
            <w:tcW w:w="1859" w:type="dxa"/>
            <w:gridSpan w:val="2"/>
            <w:tcBorders>
              <w:top w:val="nil"/>
              <w:left w:val="single" w:color="auto" w:sz="4" w:space="0"/>
              <w:bottom w:val="single" w:color="auto" w:sz="4" w:space="0"/>
              <w:right w:val="nil"/>
            </w:tcBorders>
            <w:vAlign w:val="center"/>
          </w:tcPr>
          <w:p w14:paraId="78F98A39">
            <w:pPr>
              <w:widowControl/>
              <w:jc w:val="center"/>
              <w:rPr>
                <w:rFonts w:ascii="宋体" w:hAnsi="宋体" w:eastAsia="宋体" w:cs="宋体"/>
                <w:kern w:val="0"/>
                <w:sz w:val="18"/>
                <w:szCs w:val="18"/>
              </w:rPr>
            </w:pPr>
            <w:r>
              <w:rPr>
                <w:rFonts w:hint="eastAsia" w:ascii="宋体" w:hAnsi="宋体" w:eastAsia="宋体" w:cs="宋体"/>
                <w:kern w:val="0"/>
                <w:sz w:val="18"/>
                <w:szCs w:val="18"/>
              </w:rPr>
              <w:t>体育与健康</w:t>
            </w:r>
          </w:p>
        </w:tc>
        <w:tc>
          <w:tcPr>
            <w:tcW w:w="731" w:type="dxa"/>
            <w:tcBorders>
              <w:top w:val="nil"/>
              <w:left w:val="single" w:color="auto" w:sz="4" w:space="0"/>
              <w:bottom w:val="single" w:color="auto" w:sz="4" w:space="0"/>
              <w:right w:val="single" w:color="auto" w:sz="4" w:space="0"/>
            </w:tcBorders>
            <w:vAlign w:val="center"/>
          </w:tcPr>
          <w:p w14:paraId="63F09919">
            <w:pPr>
              <w:widowControl/>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613" w:type="dxa"/>
            <w:tcBorders>
              <w:top w:val="nil"/>
              <w:left w:val="nil"/>
              <w:bottom w:val="single" w:color="auto" w:sz="4" w:space="0"/>
              <w:right w:val="single" w:color="auto" w:sz="4" w:space="0"/>
            </w:tcBorders>
            <w:vAlign w:val="center"/>
          </w:tcPr>
          <w:p w14:paraId="0711250D">
            <w:pPr>
              <w:adjustRightInd w:val="0"/>
              <w:snapToGrid w:val="0"/>
              <w:ind w:left="21" w:leftChars="10" w:right="21" w:rightChars="10"/>
              <w:jc w:val="center"/>
              <w:rPr>
                <w:rFonts w:ascii="宋体" w:hAnsi="宋体" w:eastAsia="宋体"/>
                <w:kern w:val="0"/>
                <w:sz w:val="18"/>
                <w:szCs w:val="18"/>
              </w:rPr>
            </w:pPr>
            <w:r>
              <w:rPr>
                <w:rFonts w:ascii="宋体" w:hAnsi="宋体" w:eastAsia="宋体"/>
                <w:kern w:val="0"/>
                <w:sz w:val="18"/>
                <w:szCs w:val="18"/>
              </w:rPr>
              <w:t>8</w:t>
            </w:r>
          </w:p>
        </w:tc>
        <w:tc>
          <w:tcPr>
            <w:tcW w:w="705" w:type="dxa"/>
            <w:tcBorders>
              <w:top w:val="nil"/>
              <w:left w:val="single" w:color="auto" w:sz="4" w:space="0"/>
              <w:bottom w:val="single" w:color="auto" w:sz="4" w:space="0"/>
              <w:right w:val="single" w:color="auto" w:sz="4" w:space="0"/>
            </w:tcBorders>
            <w:vAlign w:val="center"/>
          </w:tcPr>
          <w:p w14:paraId="6C48E296">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1</w:t>
            </w:r>
            <w:r>
              <w:rPr>
                <w:rFonts w:ascii="宋体" w:hAnsi="宋体" w:eastAsia="宋体"/>
                <w:kern w:val="0"/>
                <w:sz w:val="18"/>
                <w:szCs w:val="18"/>
              </w:rPr>
              <w:t>08</w:t>
            </w:r>
          </w:p>
        </w:tc>
        <w:tc>
          <w:tcPr>
            <w:tcW w:w="487" w:type="dxa"/>
            <w:tcBorders>
              <w:top w:val="nil"/>
              <w:left w:val="nil"/>
              <w:bottom w:val="single" w:color="auto" w:sz="4" w:space="0"/>
              <w:right w:val="single" w:color="auto" w:sz="4" w:space="0"/>
            </w:tcBorders>
            <w:vAlign w:val="center"/>
          </w:tcPr>
          <w:p w14:paraId="5647060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51" w:type="dxa"/>
            <w:tcBorders>
              <w:top w:val="nil"/>
              <w:left w:val="nil"/>
              <w:bottom w:val="single" w:color="auto" w:sz="4" w:space="0"/>
              <w:right w:val="single" w:color="auto" w:sz="4" w:space="0"/>
            </w:tcBorders>
            <w:vAlign w:val="center"/>
          </w:tcPr>
          <w:p w14:paraId="51B17245">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tcBorders>
              <w:top w:val="nil"/>
              <w:left w:val="nil"/>
              <w:bottom w:val="single" w:color="auto" w:sz="4" w:space="0"/>
              <w:right w:val="single" w:color="auto" w:sz="4" w:space="0"/>
            </w:tcBorders>
            <w:vAlign w:val="center"/>
          </w:tcPr>
          <w:p w14:paraId="2A767B8E">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vAlign w:val="center"/>
          </w:tcPr>
          <w:p w14:paraId="3DC8F760">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vAlign w:val="center"/>
          </w:tcPr>
          <w:p w14:paraId="029E07D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75D8491">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0F550C0">
            <w:pPr>
              <w:widowControl/>
              <w:jc w:val="center"/>
              <w:rPr>
                <w:rFonts w:ascii="宋体" w:hAnsi="宋体" w:eastAsia="宋体" w:cs="宋体"/>
                <w:kern w:val="0"/>
                <w:sz w:val="18"/>
                <w:szCs w:val="18"/>
              </w:rPr>
            </w:pPr>
            <w:r>
              <w:rPr>
                <w:rFonts w:hint="eastAsia" w:ascii="宋体" w:hAnsi="宋体" w:cs="宋体"/>
                <w:sz w:val="18"/>
                <w:szCs w:val="18"/>
              </w:rPr>
              <w:t>★</w:t>
            </w:r>
          </w:p>
        </w:tc>
      </w:tr>
      <w:tr w14:paraId="6F7DB5B3">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B731797">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1A099216">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58CAA22E">
            <w:pPr>
              <w:widowControl/>
              <w:jc w:val="center"/>
              <w:rPr>
                <w:rFonts w:ascii="宋体" w:hAnsi="宋体" w:eastAsia="宋体" w:cs="宋体"/>
                <w:kern w:val="0"/>
                <w:sz w:val="18"/>
                <w:szCs w:val="18"/>
              </w:rPr>
            </w:pPr>
            <w:r>
              <w:rPr>
                <w:rFonts w:ascii="宋体" w:hAnsi="宋体" w:eastAsia="宋体" w:cs="宋体"/>
                <w:kern w:val="0"/>
                <w:sz w:val="18"/>
                <w:szCs w:val="18"/>
              </w:rPr>
              <w:t>1012040</w:t>
            </w:r>
            <w:r>
              <w:rPr>
                <w:rFonts w:hint="eastAsia" w:ascii="宋体" w:hAnsi="宋体" w:eastAsia="宋体" w:cs="宋体"/>
                <w:kern w:val="0"/>
                <w:sz w:val="18"/>
                <w:szCs w:val="18"/>
              </w:rPr>
              <w:t>-1</w:t>
            </w:r>
          </w:p>
        </w:tc>
        <w:tc>
          <w:tcPr>
            <w:tcW w:w="1859" w:type="dxa"/>
            <w:gridSpan w:val="2"/>
            <w:tcBorders>
              <w:top w:val="nil"/>
              <w:left w:val="single" w:color="auto" w:sz="4" w:space="0"/>
              <w:bottom w:val="single" w:color="auto" w:sz="4" w:space="0"/>
              <w:right w:val="nil"/>
            </w:tcBorders>
            <w:vAlign w:val="center"/>
          </w:tcPr>
          <w:p w14:paraId="4AC31971">
            <w:pPr>
              <w:widowControl/>
              <w:jc w:val="center"/>
              <w:rPr>
                <w:rFonts w:ascii="宋体" w:hAnsi="宋体" w:eastAsia="宋体" w:cs="宋体"/>
                <w:kern w:val="0"/>
                <w:sz w:val="18"/>
                <w:szCs w:val="18"/>
              </w:rPr>
            </w:pPr>
            <w:r>
              <w:rPr>
                <w:rFonts w:hint="eastAsia" w:ascii="宋体" w:hAnsi="宋体" w:eastAsia="宋体" w:cs="宋体"/>
                <w:kern w:val="0"/>
                <w:sz w:val="18"/>
                <w:szCs w:val="18"/>
              </w:rPr>
              <w:t>艺术（音乐美术）</w:t>
            </w:r>
          </w:p>
        </w:tc>
        <w:tc>
          <w:tcPr>
            <w:tcW w:w="731" w:type="dxa"/>
            <w:tcBorders>
              <w:top w:val="nil"/>
              <w:left w:val="single" w:color="auto" w:sz="4" w:space="0"/>
              <w:bottom w:val="single" w:color="auto" w:sz="4" w:space="0"/>
              <w:right w:val="single" w:color="auto" w:sz="4" w:space="0"/>
            </w:tcBorders>
            <w:vAlign w:val="center"/>
          </w:tcPr>
          <w:p w14:paraId="7DEA42DC">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613" w:type="dxa"/>
            <w:tcBorders>
              <w:top w:val="nil"/>
              <w:left w:val="nil"/>
              <w:bottom w:val="single" w:color="auto" w:sz="4" w:space="0"/>
              <w:right w:val="single" w:color="auto" w:sz="4" w:space="0"/>
            </w:tcBorders>
            <w:vAlign w:val="center"/>
          </w:tcPr>
          <w:p w14:paraId="5B508674">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02CA368">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kern w:val="0"/>
                <w:sz w:val="18"/>
                <w:szCs w:val="18"/>
              </w:rPr>
              <w:t>2</w:t>
            </w:r>
            <w:r>
              <w:rPr>
                <w:rFonts w:ascii="宋体" w:hAnsi="宋体" w:eastAsia="宋体"/>
                <w:kern w:val="0"/>
                <w:sz w:val="18"/>
                <w:szCs w:val="18"/>
              </w:rPr>
              <w:t>4</w:t>
            </w:r>
          </w:p>
        </w:tc>
        <w:tc>
          <w:tcPr>
            <w:tcW w:w="487" w:type="dxa"/>
            <w:tcBorders>
              <w:top w:val="nil"/>
              <w:left w:val="nil"/>
              <w:bottom w:val="single" w:color="auto" w:sz="4" w:space="0"/>
              <w:right w:val="single" w:color="auto" w:sz="4" w:space="0"/>
            </w:tcBorders>
            <w:vAlign w:val="center"/>
          </w:tcPr>
          <w:p w14:paraId="062068E4">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651" w:type="dxa"/>
            <w:tcBorders>
              <w:top w:val="nil"/>
              <w:left w:val="nil"/>
              <w:bottom w:val="single" w:color="auto" w:sz="4" w:space="0"/>
              <w:right w:val="single" w:color="auto" w:sz="4" w:space="0"/>
            </w:tcBorders>
            <w:vAlign w:val="center"/>
          </w:tcPr>
          <w:p w14:paraId="259FFCED">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624" w:type="dxa"/>
            <w:tcBorders>
              <w:top w:val="nil"/>
              <w:left w:val="nil"/>
              <w:bottom w:val="single" w:color="auto" w:sz="4" w:space="0"/>
              <w:right w:val="single" w:color="auto" w:sz="4" w:space="0"/>
            </w:tcBorders>
            <w:vAlign w:val="center"/>
          </w:tcPr>
          <w:p w14:paraId="4F249734">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vAlign w:val="center"/>
          </w:tcPr>
          <w:p w14:paraId="57743B78">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vAlign w:val="center"/>
          </w:tcPr>
          <w:p w14:paraId="18748A6B">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49A2720">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B4D0815">
            <w:pPr>
              <w:widowControl/>
              <w:jc w:val="center"/>
              <w:rPr>
                <w:rFonts w:ascii="宋体" w:hAnsi="宋体" w:eastAsia="宋体" w:cs="宋体"/>
                <w:kern w:val="0"/>
                <w:sz w:val="18"/>
                <w:szCs w:val="18"/>
              </w:rPr>
            </w:pPr>
          </w:p>
        </w:tc>
      </w:tr>
      <w:tr w14:paraId="3DB8ADE5">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BF2BE88">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7CF5EEF8">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78D92BF9">
            <w:pPr>
              <w:widowControl/>
              <w:jc w:val="center"/>
              <w:rPr>
                <w:rFonts w:ascii="宋体" w:hAnsi="宋体" w:eastAsia="宋体" w:cs="宋体"/>
                <w:kern w:val="0"/>
                <w:sz w:val="18"/>
                <w:szCs w:val="18"/>
              </w:rPr>
            </w:pPr>
            <w:r>
              <w:rPr>
                <w:rFonts w:ascii="宋体" w:hAnsi="宋体" w:eastAsia="宋体" w:cs="宋体"/>
                <w:kern w:val="0"/>
                <w:sz w:val="18"/>
                <w:szCs w:val="18"/>
              </w:rPr>
              <w:t>101205</w:t>
            </w:r>
            <w:r>
              <w:rPr>
                <w:rFonts w:hint="eastAsia" w:ascii="宋体" w:hAnsi="宋体" w:eastAsia="宋体" w:cs="宋体"/>
                <w:kern w:val="0"/>
                <w:sz w:val="18"/>
                <w:szCs w:val="18"/>
              </w:rPr>
              <w:t>4</w:t>
            </w:r>
          </w:p>
        </w:tc>
        <w:tc>
          <w:tcPr>
            <w:tcW w:w="1859" w:type="dxa"/>
            <w:gridSpan w:val="2"/>
            <w:tcBorders>
              <w:top w:val="nil"/>
              <w:left w:val="single" w:color="auto" w:sz="4" w:space="0"/>
              <w:bottom w:val="single" w:color="auto" w:sz="4" w:space="0"/>
              <w:right w:val="nil"/>
            </w:tcBorders>
            <w:vAlign w:val="center"/>
          </w:tcPr>
          <w:p w14:paraId="0CC4073B">
            <w:pPr>
              <w:widowControl/>
              <w:jc w:val="center"/>
              <w:rPr>
                <w:rFonts w:ascii="宋体" w:hAnsi="宋体" w:eastAsia="宋体" w:cs="宋体"/>
                <w:kern w:val="0"/>
                <w:sz w:val="18"/>
                <w:szCs w:val="18"/>
              </w:rPr>
            </w:pPr>
            <w:r>
              <w:rPr>
                <w:rFonts w:hint="eastAsia" w:ascii="宋体" w:hAnsi="宋体" w:eastAsia="宋体" w:cs="宋体"/>
                <w:kern w:val="0"/>
                <w:sz w:val="18"/>
                <w:szCs w:val="18"/>
              </w:rPr>
              <w:t>劳动教育</w:t>
            </w:r>
          </w:p>
        </w:tc>
        <w:tc>
          <w:tcPr>
            <w:tcW w:w="731" w:type="dxa"/>
            <w:tcBorders>
              <w:top w:val="nil"/>
              <w:left w:val="single" w:color="auto" w:sz="4" w:space="0"/>
              <w:bottom w:val="single" w:color="auto" w:sz="4" w:space="0"/>
              <w:right w:val="single" w:color="auto" w:sz="4" w:space="0"/>
            </w:tcBorders>
            <w:vAlign w:val="center"/>
          </w:tcPr>
          <w:p w14:paraId="14C81C4A">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613" w:type="dxa"/>
            <w:tcBorders>
              <w:top w:val="nil"/>
              <w:left w:val="nil"/>
              <w:bottom w:val="single" w:color="auto" w:sz="4" w:space="0"/>
              <w:right w:val="single" w:color="auto" w:sz="4" w:space="0"/>
            </w:tcBorders>
            <w:vAlign w:val="center"/>
          </w:tcPr>
          <w:p w14:paraId="54506119">
            <w:pPr>
              <w:adjustRightInd w:val="0"/>
              <w:snapToGrid w:val="0"/>
              <w:ind w:left="21" w:leftChars="10" w:right="21" w:rightChars="10"/>
              <w:jc w:val="center"/>
              <w:rPr>
                <w:rFonts w:ascii="宋体" w:hAnsi="宋体" w:eastAsia="宋体"/>
                <w:kern w:val="0"/>
                <w:sz w:val="18"/>
                <w:szCs w:val="18"/>
              </w:rPr>
            </w:pPr>
            <w:r>
              <w:rPr>
                <w:rFonts w:ascii="宋体" w:hAnsi="宋体" w:eastAsia="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0AA60CC1">
            <w:pPr>
              <w:adjustRightInd w:val="0"/>
              <w:snapToGrid w:val="0"/>
              <w:ind w:left="21" w:leftChars="10" w:right="21" w:rightChars="10"/>
              <w:jc w:val="center"/>
              <w:rPr>
                <w:rFonts w:ascii="宋体" w:hAnsi="宋体" w:eastAsia="宋体"/>
                <w:kern w:val="0"/>
                <w:sz w:val="18"/>
                <w:szCs w:val="18"/>
              </w:rPr>
            </w:pPr>
            <w:r>
              <w:rPr>
                <w:rFonts w:hint="eastAsia" w:ascii="宋体" w:hAnsi="宋体" w:eastAsia="宋体" w:cs="宋体"/>
                <w:kern w:val="0"/>
                <w:sz w:val="18"/>
                <w:szCs w:val="18"/>
              </w:rPr>
              <w:t>354</w:t>
            </w:r>
          </w:p>
        </w:tc>
        <w:tc>
          <w:tcPr>
            <w:tcW w:w="487" w:type="dxa"/>
            <w:tcBorders>
              <w:top w:val="nil"/>
              <w:left w:val="nil"/>
              <w:bottom w:val="single" w:color="auto" w:sz="4" w:space="0"/>
              <w:right w:val="single" w:color="auto" w:sz="4" w:space="0"/>
            </w:tcBorders>
            <w:vAlign w:val="center"/>
          </w:tcPr>
          <w:p w14:paraId="32B41C9B">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651" w:type="dxa"/>
            <w:tcBorders>
              <w:top w:val="nil"/>
              <w:left w:val="nil"/>
              <w:bottom w:val="single" w:color="auto" w:sz="4" w:space="0"/>
              <w:right w:val="single" w:color="auto" w:sz="4" w:space="0"/>
            </w:tcBorders>
            <w:vAlign w:val="center"/>
          </w:tcPr>
          <w:p w14:paraId="5096830A">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433F23DA">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6886F14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D9EA59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AC34CAE">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3878F99">
            <w:pPr>
              <w:widowControl/>
              <w:jc w:val="center"/>
              <w:rPr>
                <w:rFonts w:ascii="宋体" w:hAnsi="宋体" w:eastAsia="宋体" w:cs="宋体"/>
                <w:kern w:val="0"/>
                <w:sz w:val="18"/>
                <w:szCs w:val="18"/>
              </w:rPr>
            </w:pPr>
          </w:p>
        </w:tc>
      </w:tr>
      <w:tr w14:paraId="472E9E25">
        <w:tblPrEx>
          <w:tblCellMar>
            <w:top w:w="0" w:type="dxa"/>
            <w:left w:w="108" w:type="dxa"/>
            <w:bottom w:w="0" w:type="dxa"/>
            <w:right w:w="108" w:type="dxa"/>
          </w:tblCellMar>
        </w:tblPrEx>
        <w:trPr>
          <w:trHeight w:val="467" w:hRule="atLeast"/>
          <w:jc w:val="center"/>
        </w:trPr>
        <w:tc>
          <w:tcPr>
            <w:tcW w:w="463" w:type="dxa"/>
            <w:vMerge w:val="continue"/>
            <w:tcBorders>
              <w:left w:val="single" w:color="auto" w:sz="4" w:space="0"/>
              <w:right w:val="single" w:color="auto" w:sz="4" w:space="0"/>
            </w:tcBorders>
            <w:vAlign w:val="center"/>
          </w:tcPr>
          <w:p w14:paraId="4DBA1CAA">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6295C736">
            <w:pPr>
              <w:widowControl/>
              <w:jc w:val="left"/>
              <w:rPr>
                <w:rFonts w:ascii="宋体" w:hAnsi="宋体" w:eastAsia="宋体" w:cs="宋体"/>
                <w:kern w:val="0"/>
                <w:sz w:val="18"/>
                <w:szCs w:val="18"/>
              </w:rPr>
            </w:pPr>
          </w:p>
        </w:tc>
        <w:tc>
          <w:tcPr>
            <w:tcW w:w="2993" w:type="dxa"/>
            <w:gridSpan w:val="3"/>
            <w:tcBorders>
              <w:top w:val="single" w:color="auto" w:sz="4" w:space="0"/>
              <w:left w:val="nil"/>
              <w:bottom w:val="single" w:color="auto" w:sz="4" w:space="0"/>
              <w:right w:val="single" w:color="000000" w:sz="4" w:space="0"/>
            </w:tcBorders>
            <w:vAlign w:val="center"/>
          </w:tcPr>
          <w:p w14:paraId="69877F22">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小计（占总课时比例31.56%）</w:t>
            </w:r>
          </w:p>
        </w:tc>
        <w:tc>
          <w:tcPr>
            <w:tcW w:w="731" w:type="dxa"/>
            <w:tcBorders>
              <w:top w:val="nil"/>
              <w:left w:val="nil"/>
              <w:bottom w:val="single" w:color="auto" w:sz="4" w:space="0"/>
              <w:right w:val="single" w:color="auto" w:sz="4" w:space="0"/>
            </w:tcBorders>
            <w:vAlign w:val="center"/>
          </w:tcPr>
          <w:p w14:paraId="02B4E47A">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10</w:t>
            </w:r>
            <w:r>
              <w:rPr>
                <w:rFonts w:hint="eastAsia" w:ascii="宋体" w:hAnsi="宋体" w:eastAsia="宋体" w:cs="宋体"/>
                <w:kern w:val="0"/>
                <w:sz w:val="18"/>
                <w:szCs w:val="18"/>
                <w:lang w:val="en-US" w:eastAsia="zh-CN"/>
              </w:rPr>
              <w:t>44</w:t>
            </w:r>
          </w:p>
        </w:tc>
        <w:tc>
          <w:tcPr>
            <w:tcW w:w="613" w:type="dxa"/>
            <w:tcBorders>
              <w:top w:val="nil"/>
              <w:left w:val="nil"/>
              <w:bottom w:val="single" w:color="auto" w:sz="4" w:space="0"/>
              <w:right w:val="single" w:color="auto" w:sz="4" w:space="0"/>
            </w:tcBorders>
            <w:vAlign w:val="center"/>
          </w:tcPr>
          <w:p w14:paraId="718E3B1D">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5</w:t>
            </w:r>
            <w:r>
              <w:rPr>
                <w:rFonts w:hint="eastAsia" w:ascii="宋体" w:hAnsi="宋体" w:eastAsia="宋体" w:cs="宋体"/>
                <w:kern w:val="0"/>
                <w:sz w:val="18"/>
                <w:szCs w:val="18"/>
                <w:lang w:val="en-US" w:eastAsia="zh-CN"/>
              </w:rPr>
              <w:t>6</w:t>
            </w:r>
          </w:p>
        </w:tc>
        <w:tc>
          <w:tcPr>
            <w:tcW w:w="705" w:type="dxa"/>
            <w:tcBorders>
              <w:top w:val="nil"/>
              <w:left w:val="single" w:color="auto" w:sz="4" w:space="0"/>
              <w:bottom w:val="single" w:color="auto" w:sz="4" w:space="0"/>
              <w:right w:val="single" w:color="auto" w:sz="4" w:space="0"/>
            </w:tcBorders>
            <w:vAlign w:val="center"/>
          </w:tcPr>
          <w:p w14:paraId="03FAE059">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744</w:t>
            </w:r>
          </w:p>
        </w:tc>
        <w:tc>
          <w:tcPr>
            <w:tcW w:w="487" w:type="dxa"/>
            <w:tcBorders>
              <w:top w:val="nil"/>
              <w:left w:val="nil"/>
              <w:bottom w:val="single" w:color="auto" w:sz="4" w:space="0"/>
              <w:right w:val="single" w:color="auto" w:sz="4" w:space="0"/>
            </w:tcBorders>
            <w:vAlign w:val="center"/>
          </w:tcPr>
          <w:p w14:paraId="741747C0">
            <w:pPr>
              <w:widowControl/>
              <w:jc w:val="center"/>
              <w:rPr>
                <w:rFonts w:ascii="宋体" w:hAnsi="宋体" w:eastAsia="宋体" w:cs="宋体"/>
                <w:kern w:val="0"/>
                <w:sz w:val="18"/>
                <w:szCs w:val="18"/>
              </w:rPr>
            </w:pPr>
            <w:r>
              <w:rPr>
                <w:rFonts w:hint="eastAsia" w:ascii="宋体" w:hAnsi="宋体" w:eastAsia="宋体" w:cs="宋体"/>
                <w:kern w:val="0"/>
                <w:sz w:val="18"/>
                <w:szCs w:val="18"/>
              </w:rPr>
              <w:t>432</w:t>
            </w:r>
          </w:p>
        </w:tc>
        <w:tc>
          <w:tcPr>
            <w:tcW w:w="651" w:type="dxa"/>
            <w:tcBorders>
              <w:top w:val="nil"/>
              <w:left w:val="nil"/>
              <w:bottom w:val="single" w:color="auto" w:sz="4" w:space="0"/>
              <w:right w:val="single" w:color="auto" w:sz="4" w:space="0"/>
            </w:tcBorders>
            <w:vAlign w:val="center"/>
          </w:tcPr>
          <w:p w14:paraId="0FD77F6D">
            <w:pPr>
              <w:widowControl/>
              <w:jc w:val="center"/>
              <w:rPr>
                <w:rFonts w:ascii="宋体" w:hAnsi="宋体" w:eastAsia="宋体" w:cs="宋体"/>
                <w:kern w:val="0"/>
                <w:sz w:val="18"/>
                <w:szCs w:val="18"/>
              </w:rPr>
            </w:pPr>
            <w:r>
              <w:rPr>
                <w:rFonts w:hint="eastAsia" w:ascii="宋体" w:hAnsi="宋体" w:eastAsia="宋体" w:cs="宋体"/>
                <w:kern w:val="0"/>
                <w:sz w:val="18"/>
                <w:szCs w:val="18"/>
              </w:rPr>
              <w:t>378</w:t>
            </w:r>
          </w:p>
        </w:tc>
        <w:tc>
          <w:tcPr>
            <w:tcW w:w="624" w:type="dxa"/>
            <w:tcBorders>
              <w:top w:val="single" w:color="auto" w:sz="4" w:space="0"/>
              <w:left w:val="nil"/>
              <w:bottom w:val="single" w:color="auto" w:sz="4" w:space="0"/>
              <w:right w:val="single" w:color="auto" w:sz="4" w:space="0"/>
            </w:tcBorders>
            <w:vAlign w:val="center"/>
          </w:tcPr>
          <w:p w14:paraId="42A444E6">
            <w:pPr>
              <w:widowControl/>
              <w:jc w:val="center"/>
              <w:rPr>
                <w:rFonts w:ascii="宋体" w:hAnsi="宋体" w:eastAsia="宋体" w:cs="宋体"/>
                <w:kern w:val="0"/>
                <w:sz w:val="18"/>
                <w:szCs w:val="18"/>
              </w:rPr>
            </w:pPr>
            <w:r>
              <w:rPr>
                <w:rFonts w:hint="eastAsia" w:ascii="宋体" w:hAnsi="宋体" w:eastAsia="宋体" w:cs="宋体"/>
                <w:kern w:val="0"/>
                <w:sz w:val="18"/>
                <w:szCs w:val="18"/>
              </w:rPr>
              <w:t>126</w:t>
            </w:r>
          </w:p>
        </w:tc>
        <w:tc>
          <w:tcPr>
            <w:tcW w:w="709" w:type="dxa"/>
            <w:tcBorders>
              <w:top w:val="nil"/>
              <w:left w:val="nil"/>
              <w:bottom w:val="single" w:color="auto" w:sz="4" w:space="0"/>
              <w:right w:val="single" w:color="auto" w:sz="4" w:space="0"/>
            </w:tcBorders>
            <w:vAlign w:val="center"/>
          </w:tcPr>
          <w:p w14:paraId="53BFCE09">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567" w:type="dxa"/>
            <w:tcBorders>
              <w:top w:val="nil"/>
              <w:left w:val="nil"/>
              <w:bottom w:val="single" w:color="auto" w:sz="4" w:space="0"/>
              <w:right w:val="single" w:color="auto" w:sz="4" w:space="0"/>
            </w:tcBorders>
            <w:vAlign w:val="center"/>
          </w:tcPr>
          <w:p w14:paraId="25D94CA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D00B484">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0D53FB1">
            <w:pPr>
              <w:widowControl/>
              <w:jc w:val="center"/>
              <w:rPr>
                <w:rFonts w:ascii="宋体" w:hAnsi="宋体" w:eastAsia="宋体" w:cs="宋体"/>
                <w:kern w:val="0"/>
                <w:sz w:val="18"/>
                <w:szCs w:val="18"/>
              </w:rPr>
            </w:pPr>
          </w:p>
        </w:tc>
      </w:tr>
      <w:tr w14:paraId="67665F38">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4B3F0A6">
            <w:pPr>
              <w:widowControl/>
              <w:jc w:val="left"/>
              <w:rPr>
                <w:rFonts w:ascii="宋体" w:hAnsi="宋体" w:eastAsia="宋体" w:cs="宋体"/>
                <w:kern w:val="0"/>
                <w:sz w:val="18"/>
                <w:szCs w:val="18"/>
              </w:rPr>
            </w:pPr>
          </w:p>
        </w:tc>
        <w:tc>
          <w:tcPr>
            <w:tcW w:w="426" w:type="dxa"/>
            <w:vMerge w:val="restart"/>
            <w:tcBorders>
              <w:top w:val="nil"/>
              <w:left w:val="single" w:color="auto" w:sz="4" w:space="0"/>
              <w:right w:val="single" w:color="auto" w:sz="4" w:space="0"/>
            </w:tcBorders>
            <w:vAlign w:val="center"/>
          </w:tcPr>
          <w:p w14:paraId="727DEF8A">
            <w:pPr>
              <w:widowControl/>
              <w:jc w:val="left"/>
              <w:rPr>
                <w:rFonts w:ascii="宋体" w:hAnsi="宋体" w:eastAsia="宋体" w:cs="宋体"/>
                <w:kern w:val="0"/>
                <w:sz w:val="18"/>
                <w:szCs w:val="18"/>
              </w:rPr>
            </w:pPr>
            <w:r>
              <w:rPr>
                <w:rFonts w:hint="eastAsia" w:ascii="宋体" w:hAnsi="宋体" w:eastAsia="宋体" w:cs="宋体"/>
                <w:kern w:val="0"/>
                <w:sz w:val="18"/>
                <w:szCs w:val="18"/>
              </w:rPr>
              <w:t>公共选修课</w:t>
            </w:r>
          </w:p>
          <w:p w14:paraId="6960F3B0">
            <w:pPr>
              <w:widowControl/>
              <w:jc w:val="left"/>
              <w:rPr>
                <w:rFonts w:ascii="宋体" w:hAnsi="宋体" w:eastAsia="宋体" w:cs="宋体"/>
                <w:kern w:val="0"/>
                <w:sz w:val="18"/>
                <w:szCs w:val="18"/>
              </w:rPr>
            </w:pPr>
            <w:r>
              <w:rPr>
                <w:rFonts w:hint="eastAsia" w:ascii="宋体" w:hAnsi="宋体" w:eastAsia="宋体" w:cs="宋体"/>
                <w:kern w:val="0"/>
                <w:sz w:val="18"/>
                <w:szCs w:val="18"/>
              </w:rPr>
              <w:t>程</w:t>
            </w:r>
          </w:p>
        </w:tc>
        <w:tc>
          <w:tcPr>
            <w:tcW w:w="1134" w:type="dxa"/>
            <w:tcBorders>
              <w:top w:val="single" w:color="auto" w:sz="4" w:space="0"/>
              <w:left w:val="nil"/>
              <w:bottom w:val="single" w:color="auto" w:sz="4" w:space="0"/>
              <w:right w:val="single" w:color="auto" w:sz="4" w:space="0"/>
            </w:tcBorders>
            <w:vAlign w:val="center"/>
          </w:tcPr>
          <w:p w14:paraId="6CEB872F">
            <w:pPr>
              <w:adjustRightInd w:val="0"/>
              <w:snapToGrid w:val="0"/>
              <w:jc w:val="center"/>
              <w:rPr>
                <w:rFonts w:ascii="宋体" w:hAnsi="宋体" w:eastAsia="宋体"/>
                <w:kern w:val="0"/>
                <w:sz w:val="18"/>
                <w:szCs w:val="18"/>
              </w:rPr>
            </w:pPr>
            <w:r>
              <w:rPr>
                <w:rFonts w:ascii="宋体" w:hAnsi="宋体" w:eastAsia="宋体" w:cs="宋体"/>
                <w:kern w:val="0"/>
                <w:sz w:val="18"/>
                <w:szCs w:val="18"/>
              </w:rPr>
              <w:t>101103</w:t>
            </w:r>
            <w:r>
              <w:rPr>
                <w:rFonts w:hint="eastAsia" w:ascii="宋体" w:hAnsi="宋体" w:eastAsia="宋体" w:cs="宋体"/>
                <w:kern w:val="0"/>
                <w:sz w:val="18"/>
                <w:szCs w:val="18"/>
              </w:rPr>
              <w:t>4</w:t>
            </w:r>
          </w:p>
        </w:tc>
        <w:tc>
          <w:tcPr>
            <w:tcW w:w="1859" w:type="dxa"/>
            <w:gridSpan w:val="2"/>
            <w:tcBorders>
              <w:top w:val="single" w:color="auto" w:sz="4" w:space="0"/>
              <w:left w:val="nil"/>
              <w:bottom w:val="single" w:color="auto" w:sz="4" w:space="0"/>
              <w:right w:val="single" w:color="auto" w:sz="4" w:space="0"/>
            </w:tcBorders>
            <w:vAlign w:val="center"/>
          </w:tcPr>
          <w:p w14:paraId="0B64810F">
            <w:pPr>
              <w:adjustRightInd w:val="0"/>
              <w:snapToGrid w:val="0"/>
              <w:jc w:val="center"/>
              <w:rPr>
                <w:rFonts w:ascii="宋体" w:hAnsi="宋体" w:eastAsia="宋体"/>
                <w:kern w:val="0"/>
                <w:sz w:val="18"/>
                <w:szCs w:val="18"/>
              </w:rPr>
            </w:pPr>
            <w:r>
              <w:rPr>
                <w:rFonts w:hint="eastAsia" w:ascii="宋体" w:hAnsi="宋体" w:eastAsia="宋体"/>
                <w:sz w:val="18"/>
                <w:szCs w:val="18"/>
              </w:rPr>
              <w:t>四史教育</w:t>
            </w:r>
          </w:p>
        </w:tc>
        <w:tc>
          <w:tcPr>
            <w:tcW w:w="731" w:type="dxa"/>
            <w:tcBorders>
              <w:top w:val="nil"/>
              <w:left w:val="nil"/>
              <w:bottom w:val="single" w:color="auto" w:sz="4" w:space="0"/>
              <w:right w:val="single" w:color="auto" w:sz="4" w:space="0"/>
            </w:tcBorders>
            <w:vAlign w:val="center"/>
          </w:tcPr>
          <w:p w14:paraId="095C2F30">
            <w:pPr>
              <w:adjustRightInd w:val="0"/>
              <w:snapToGrid w:val="0"/>
              <w:jc w:val="center"/>
              <w:rPr>
                <w:rFonts w:ascii="宋体" w:hAnsi="宋体" w:eastAsia="宋体"/>
                <w:kern w:val="0"/>
                <w:sz w:val="18"/>
                <w:szCs w:val="18"/>
              </w:rPr>
            </w:pPr>
            <w:r>
              <w:rPr>
                <w:rFonts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097551FE">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3F2A217E">
            <w:pPr>
              <w:adjustRightInd w:val="0"/>
              <w:snapToGrid w:val="0"/>
              <w:jc w:val="center"/>
              <w:rPr>
                <w:rFonts w:ascii="宋体" w:hAnsi="宋体" w:eastAsia="宋体"/>
                <w:kern w:val="0"/>
                <w:sz w:val="18"/>
                <w:szCs w:val="18"/>
              </w:rPr>
            </w:pPr>
          </w:p>
        </w:tc>
        <w:tc>
          <w:tcPr>
            <w:tcW w:w="487" w:type="dxa"/>
            <w:tcBorders>
              <w:top w:val="nil"/>
              <w:left w:val="nil"/>
              <w:bottom w:val="single" w:color="auto" w:sz="4" w:space="0"/>
              <w:right w:val="single" w:color="auto" w:sz="4" w:space="0"/>
            </w:tcBorders>
            <w:vAlign w:val="center"/>
          </w:tcPr>
          <w:p w14:paraId="7E1C5F9C">
            <w:pPr>
              <w:adjustRightInd w:val="0"/>
              <w:snapToGrid w:val="0"/>
              <w:jc w:val="center"/>
              <w:rPr>
                <w:rFonts w:ascii="宋体" w:hAnsi="宋体" w:eastAsia="宋体"/>
                <w:kern w:val="0"/>
                <w:sz w:val="18"/>
                <w:szCs w:val="18"/>
              </w:rPr>
            </w:pPr>
          </w:p>
        </w:tc>
        <w:tc>
          <w:tcPr>
            <w:tcW w:w="651" w:type="dxa"/>
            <w:tcBorders>
              <w:top w:val="nil"/>
              <w:left w:val="nil"/>
              <w:bottom w:val="single" w:color="auto" w:sz="4" w:space="0"/>
              <w:right w:val="single" w:color="auto" w:sz="4" w:space="0"/>
            </w:tcBorders>
            <w:vAlign w:val="center"/>
          </w:tcPr>
          <w:p w14:paraId="231B2CDF">
            <w:pPr>
              <w:adjustRightInd w:val="0"/>
              <w:snapToGrid w:val="0"/>
              <w:jc w:val="center"/>
              <w:rPr>
                <w:rFonts w:ascii="宋体" w:hAnsi="宋体" w:eastAsia="宋体"/>
                <w:kern w:val="0"/>
                <w:sz w:val="18"/>
                <w:szCs w:val="18"/>
              </w:rPr>
            </w:pPr>
            <w:r>
              <w:rPr>
                <w:rFonts w:hint="eastAsia" w:ascii="宋体" w:hAnsi="宋体" w:eastAsia="宋体"/>
                <w:kern w:val="0"/>
                <w:sz w:val="18"/>
                <w:szCs w:val="18"/>
              </w:rPr>
              <w:t>讲座</w:t>
            </w:r>
          </w:p>
        </w:tc>
        <w:tc>
          <w:tcPr>
            <w:tcW w:w="624" w:type="dxa"/>
            <w:tcBorders>
              <w:top w:val="nil"/>
              <w:left w:val="nil"/>
              <w:bottom w:val="single" w:color="auto" w:sz="4" w:space="0"/>
              <w:right w:val="single" w:color="auto" w:sz="4" w:space="0"/>
            </w:tcBorders>
            <w:vAlign w:val="center"/>
          </w:tcPr>
          <w:p w14:paraId="4F1D6620">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10C112A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E7BDC1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35C2C9F">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09C45274">
            <w:pPr>
              <w:widowControl/>
              <w:jc w:val="center"/>
              <w:rPr>
                <w:rFonts w:ascii="宋体" w:hAnsi="宋体" w:eastAsia="宋体" w:cs="宋体"/>
                <w:kern w:val="0"/>
                <w:sz w:val="18"/>
                <w:szCs w:val="18"/>
              </w:rPr>
            </w:pPr>
          </w:p>
        </w:tc>
      </w:tr>
      <w:tr w14:paraId="3C3FFACD">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E0D0D93">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13051062">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118CFAD8">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011038</w:t>
            </w:r>
          </w:p>
        </w:tc>
        <w:tc>
          <w:tcPr>
            <w:tcW w:w="1859" w:type="dxa"/>
            <w:gridSpan w:val="2"/>
            <w:tcBorders>
              <w:top w:val="single" w:color="auto" w:sz="4" w:space="0"/>
              <w:left w:val="nil"/>
              <w:bottom w:val="single" w:color="auto" w:sz="4" w:space="0"/>
              <w:right w:val="single" w:color="auto" w:sz="4" w:space="0"/>
            </w:tcBorders>
            <w:vAlign w:val="center"/>
          </w:tcPr>
          <w:p w14:paraId="2B654C7F">
            <w:pPr>
              <w:widowControl/>
              <w:jc w:val="center"/>
              <w:rPr>
                <w:rFonts w:ascii="宋体" w:hAnsi="宋体" w:eastAsia="宋体"/>
                <w:color w:val="FF0000"/>
                <w:sz w:val="18"/>
                <w:szCs w:val="18"/>
              </w:rPr>
            </w:pPr>
            <w:r>
              <w:rPr>
                <w:rFonts w:hint="eastAsia" w:ascii="宋体" w:hAnsi="宋体" w:eastAsia="宋体"/>
                <w:sz w:val="18"/>
                <w:szCs w:val="18"/>
              </w:rPr>
              <w:t>习近平新时代中国特色社会主义思想概论</w:t>
            </w:r>
          </w:p>
        </w:tc>
        <w:tc>
          <w:tcPr>
            <w:tcW w:w="731" w:type="dxa"/>
            <w:tcBorders>
              <w:top w:val="nil"/>
              <w:left w:val="nil"/>
              <w:bottom w:val="single" w:color="auto" w:sz="4" w:space="0"/>
              <w:right w:val="single" w:color="auto" w:sz="4" w:space="0"/>
            </w:tcBorders>
            <w:vAlign w:val="center"/>
          </w:tcPr>
          <w:p w14:paraId="501B649B">
            <w:pPr>
              <w:adjustRightInd w:val="0"/>
              <w:snapToGrid w:val="0"/>
              <w:jc w:val="center"/>
              <w:rPr>
                <w:rFonts w:ascii="宋体" w:hAnsi="宋体" w:eastAsia="宋体"/>
                <w:kern w:val="0"/>
                <w:sz w:val="18"/>
                <w:szCs w:val="18"/>
              </w:rPr>
            </w:pPr>
            <w:r>
              <w:rPr>
                <w:rFonts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345B056B">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6A95F5E5">
            <w:pPr>
              <w:adjustRightInd w:val="0"/>
              <w:snapToGrid w:val="0"/>
              <w:jc w:val="center"/>
              <w:rPr>
                <w:rFonts w:ascii="宋体" w:hAnsi="宋体" w:eastAsia="宋体"/>
                <w:kern w:val="0"/>
                <w:sz w:val="18"/>
                <w:szCs w:val="18"/>
              </w:rPr>
            </w:pPr>
          </w:p>
        </w:tc>
        <w:tc>
          <w:tcPr>
            <w:tcW w:w="487" w:type="dxa"/>
            <w:tcBorders>
              <w:top w:val="nil"/>
              <w:left w:val="nil"/>
              <w:bottom w:val="single" w:color="auto" w:sz="4" w:space="0"/>
              <w:right w:val="single" w:color="auto" w:sz="4" w:space="0"/>
            </w:tcBorders>
            <w:vAlign w:val="center"/>
          </w:tcPr>
          <w:p w14:paraId="0373F1FD">
            <w:pPr>
              <w:adjustRightInd w:val="0"/>
              <w:snapToGrid w:val="0"/>
              <w:jc w:val="center"/>
              <w:rPr>
                <w:rFonts w:ascii="宋体" w:hAnsi="宋体" w:eastAsia="宋体"/>
                <w:kern w:val="0"/>
                <w:sz w:val="18"/>
                <w:szCs w:val="18"/>
              </w:rPr>
            </w:pPr>
          </w:p>
        </w:tc>
        <w:tc>
          <w:tcPr>
            <w:tcW w:w="651" w:type="dxa"/>
            <w:tcBorders>
              <w:top w:val="nil"/>
              <w:left w:val="nil"/>
              <w:bottom w:val="single" w:color="auto" w:sz="4" w:space="0"/>
              <w:right w:val="single" w:color="auto" w:sz="4" w:space="0"/>
            </w:tcBorders>
            <w:vAlign w:val="center"/>
          </w:tcPr>
          <w:p w14:paraId="5FD4BE59">
            <w:pPr>
              <w:adjustRightInd w:val="0"/>
              <w:snapToGrid w:val="0"/>
              <w:jc w:val="center"/>
              <w:rPr>
                <w:rFonts w:ascii="宋体" w:hAnsi="宋体" w:eastAsia="宋体"/>
                <w:kern w:val="0"/>
                <w:sz w:val="18"/>
                <w:szCs w:val="18"/>
              </w:rPr>
            </w:pPr>
          </w:p>
        </w:tc>
        <w:tc>
          <w:tcPr>
            <w:tcW w:w="624" w:type="dxa"/>
            <w:tcBorders>
              <w:top w:val="nil"/>
              <w:left w:val="nil"/>
              <w:bottom w:val="single" w:color="auto" w:sz="4" w:space="0"/>
              <w:right w:val="single" w:color="auto" w:sz="4" w:space="0"/>
            </w:tcBorders>
            <w:vAlign w:val="center"/>
          </w:tcPr>
          <w:p w14:paraId="23DDE1A0">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vAlign w:val="center"/>
          </w:tcPr>
          <w:p w14:paraId="3C02ED4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A9FD4C0">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016B4EC">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F237D56">
            <w:pPr>
              <w:widowControl/>
              <w:jc w:val="center"/>
              <w:rPr>
                <w:rFonts w:ascii="宋体" w:hAnsi="宋体" w:eastAsia="宋体" w:cs="宋体"/>
                <w:kern w:val="0"/>
                <w:sz w:val="18"/>
                <w:szCs w:val="18"/>
              </w:rPr>
            </w:pPr>
          </w:p>
        </w:tc>
      </w:tr>
      <w:tr w14:paraId="6DD1C34C">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75F58C92">
            <w:pPr>
              <w:widowControl/>
              <w:jc w:val="left"/>
              <w:rPr>
                <w:rFonts w:ascii="宋体" w:hAnsi="宋体" w:eastAsia="宋体" w:cs="宋体"/>
                <w:kern w:val="0"/>
                <w:sz w:val="18"/>
                <w:szCs w:val="18"/>
              </w:rPr>
            </w:pPr>
          </w:p>
        </w:tc>
        <w:tc>
          <w:tcPr>
            <w:tcW w:w="426" w:type="dxa"/>
            <w:vMerge w:val="continue"/>
            <w:tcBorders>
              <w:top w:val="nil"/>
              <w:left w:val="single" w:color="auto" w:sz="4" w:space="0"/>
              <w:right w:val="single" w:color="auto" w:sz="4" w:space="0"/>
            </w:tcBorders>
            <w:vAlign w:val="center"/>
          </w:tcPr>
          <w:p w14:paraId="447E51A5">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1A042E17">
            <w:pPr>
              <w:adjustRightInd w:val="0"/>
              <w:snapToGrid w:val="0"/>
              <w:jc w:val="center"/>
              <w:rPr>
                <w:rFonts w:ascii="宋体" w:hAnsi="宋体" w:eastAsia="宋体"/>
                <w:kern w:val="0"/>
                <w:sz w:val="18"/>
                <w:szCs w:val="18"/>
              </w:rPr>
            </w:pPr>
            <w:r>
              <w:rPr>
                <w:rFonts w:ascii="宋体" w:hAnsi="宋体" w:eastAsia="宋体" w:cs="宋体"/>
                <w:kern w:val="0"/>
                <w:sz w:val="18"/>
                <w:szCs w:val="18"/>
              </w:rPr>
              <w:t>101103</w:t>
            </w:r>
            <w:r>
              <w:rPr>
                <w:rFonts w:hint="eastAsia" w:ascii="宋体" w:hAnsi="宋体" w:eastAsia="宋体" w:cs="宋体"/>
                <w:kern w:val="0"/>
                <w:sz w:val="18"/>
                <w:szCs w:val="18"/>
              </w:rPr>
              <w:t>3</w:t>
            </w:r>
          </w:p>
        </w:tc>
        <w:tc>
          <w:tcPr>
            <w:tcW w:w="1859" w:type="dxa"/>
            <w:gridSpan w:val="2"/>
            <w:tcBorders>
              <w:top w:val="single" w:color="auto" w:sz="4" w:space="0"/>
              <w:left w:val="nil"/>
              <w:bottom w:val="single" w:color="auto" w:sz="4" w:space="0"/>
              <w:right w:val="single" w:color="auto" w:sz="4" w:space="0"/>
            </w:tcBorders>
            <w:vAlign w:val="center"/>
          </w:tcPr>
          <w:p w14:paraId="4E5D9FA4">
            <w:pPr>
              <w:adjustRightInd w:val="0"/>
              <w:snapToGrid w:val="0"/>
              <w:jc w:val="center"/>
              <w:rPr>
                <w:rFonts w:ascii="宋体" w:hAnsi="宋体" w:eastAsia="宋体"/>
                <w:kern w:val="0"/>
                <w:sz w:val="18"/>
                <w:szCs w:val="18"/>
              </w:rPr>
            </w:pPr>
            <w:r>
              <w:rPr>
                <w:rFonts w:hint="eastAsia" w:ascii="宋体" w:hAnsi="宋体" w:eastAsia="宋体"/>
                <w:sz w:val="18"/>
                <w:szCs w:val="18"/>
              </w:rPr>
              <w:t>中华优秀传统文化</w:t>
            </w:r>
          </w:p>
        </w:tc>
        <w:tc>
          <w:tcPr>
            <w:tcW w:w="731" w:type="dxa"/>
            <w:tcBorders>
              <w:top w:val="nil"/>
              <w:left w:val="nil"/>
              <w:bottom w:val="single" w:color="auto" w:sz="4" w:space="0"/>
              <w:right w:val="single" w:color="auto" w:sz="4" w:space="0"/>
            </w:tcBorders>
            <w:vAlign w:val="center"/>
          </w:tcPr>
          <w:p w14:paraId="373C2CF9">
            <w:pPr>
              <w:adjustRightInd w:val="0"/>
              <w:snapToGrid w:val="0"/>
              <w:jc w:val="center"/>
              <w:rPr>
                <w:rFonts w:ascii="宋体" w:hAnsi="宋体" w:eastAsia="宋体"/>
                <w:kern w:val="0"/>
                <w:sz w:val="18"/>
                <w:szCs w:val="18"/>
              </w:rPr>
            </w:pPr>
            <w:r>
              <w:rPr>
                <w:rFonts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10326495">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8CF9118">
            <w:pPr>
              <w:adjustRightInd w:val="0"/>
              <w:snapToGrid w:val="0"/>
              <w:jc w:val="center"/>
              <w:rPr>
                <w:rFonts w:ascii="宋体" w:hAnsi="宋体" w:eastAsia="宋体"/>
                <w:kern w:val="0"/>
                <w:sz w:val="18"/>
                <w:szCs w:val="18"/>
              </w:rPr>
            </w:pPr>
          </w:p>
        </w:tc>
        <w:tc>
          <w:tcPr>
            <w:tcW w:w="487" w:type="dxa"/>
            <w:tcBorders>
              <w:top w:val="nil"/>
              <w:left w:val="nil"/>
              <w:bottom w:val="single" w:color="auto" w:sz="4" w:space="0"/>
              <w:right w:val="single" w:color="auto" w:sz="4" w:space="0"/>
            </w:tcBorders>
            <w:vAlign w:val="center"/>
          </w:tcPr>
          <w:p w14:paraId="35AF22FF">
            <w:pPr>
              <w:adjustRightInd w:val="0"/>
              <w:snapToGrid w:val="0"/>
              <w:jc w:val="center"/>
              <w:rPr>
                <w:rFonts w:ascii="宋体" w:hAnsi="宋体" w:eastAsia="宋体"/>
                <w:kern w:val="0"/>
                <w:sz w:val="18"/>
                <w:szCs w:val="18"/>
              </w:rPr>
            </w:pPr>
          </w:p>
        </w:tc>
        <w:tc>
          <w:tcPr>
            <w:tcW w:w="651" w:type="dxa"/>
            <w:tcBorders>
              <w:top w:val="nil"/>
              <w:left w:val="nil"/>
              <w:bottom w:val="single" w:color="auto" w:sz="4" w:space="0"/>
              <w:right w:val="single" w:color="auto" w:sz="4" w:space="0"/>
            </w:tcBorders>
            <w:vAlign w:val="center"/>
          </w:tcPr>
          <w:p w14:paraId="18EEFF41">
            <w:pPr>
              <w:adjustRightInd w:val="0"/>
              <w:snapToGrid w:val="0"/>
              <w:jc w:val="center"/>
              <w:rPr>
                <w:rFonts w:ascii="宋体" w:hAnsi="宋体" w:eastAsia="宋体"/>
                <w:kern w:val="0"/>
                <w:sz w:val="18"/>
                <w:szCs w:val="18"/>
              </w:rPr>
            </w:pPr>
          </w:p>
        </w:tc>
        <w:tc>
          <w:tcPr>
            <w:tcW w:w="624" w:type="dxa"/>
            <w:tcBorders>
              <w:top w:val="nil"/>
              <w:left w:val="nil"/>
              <w:bottom w:val="single" w:color="auto" w:sz="4" w:space="0"/>
              <w:right w:val="single" w:color="auto" w:sz="4" w:space="0"/>
            </w:tcBorders>
            <w:vAlign w:val="center"/>
          </w:tcPr>
          <w:p w14:paraId="666A5A14">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vAlign w:val="center"/>
          </w:tcPr>
          <w:p w14:paraId="0675645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4AE3C3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3C23789">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663A686">
            <w:pPr>
              <w:widowControl/>
              <w:jc w:val="center"/>
              <w:rPr>
                <w:rFonts w:ascii="宋体" w:hAnsi="宋体" w:eastAsia="宋体" w:cs="宋体"/>
                <w:kern w:val="0"/>
                <w:sz w:val="18"/>
                <w:szCs w:val="18"/>
              </w:rPr>
            </w:pPr>
          </w:p>
        </w:tc>
      </w:tr>
      <w:tr w14:paraId="6623448E">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891CBA8">
            <w:pPr>
              <w:widowControl/>
              <w:jc w:val="left"/>
              <w:rPr>
                <w:rFonts w:ascii="宋体" w:hAnsi="宋体" w:eastAsia="宋体" w:cs="宋体"/>
                <w:kern w:val="0"/>
                <w:sz w:val="18"/>
                <w:szCs w:val="18"/>
              </w:rPr>
            </w:pPr>
          </w:p>
        </w:tc>
        <w:tc>
          <w:tcPr>
            <w:tcW w:w="426" w:type="dxa"/>
            <w:vMerge w:val="continue"/>
            <w:tcBorders>
              <w:top w:val="nil"/>
              <w:left w:val="single" w:color="auto" w:sz="4" w:space="0"/>
              <w:right w:val="single" w:color="auto" w:sz="4" w:space="0"/>
            </w:tcBorders>
            <w:vAlign w:val="center"/>
          </w:tcPr>
          <w:p w14:paraId="288DEF29">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3FDEB571">
            <w:pPr>
              <w:adjustRightInd w:val="0"/>
              <w:snapToGrid w:val="0"/>
              <w:jc w:val="center"/>
              <w:rPr>
                <w:rFonts w:ascii="宋体" w:hAnsi="宋体" w:eastAsia="宋体"/>
                <w:kern w:val="0"/>
                <w:sz w:val="18"/>
                <w:szCs w:val="18"/>
              </w:rPr>
            </w:pPr>
            <w:r>
              <w:rPr>
                <w:rFonts w:ascii="宋体" w:hAnsi="宋体" w:eastAsia="宋体" w:cs="宋体"/>
                <w:kern w:val="0"/>
                <w:sz w:val="18"/>
                <w:szCs w:val="18"/>
              </w:rPr>
              <w:t>103</w:t>
            </w:r>
            <w:r>
              <w:rPr>
                <w:rFonts w:hint="eastAsia" w:ascii="宋体" w:hAnsi="宋体" w:eastAsia="宋体" w:cs="宋体"/>
                <w:kern w:val="0"/>
                <w:sz w:val="18"/>
                <w:szCs w:val="18"/>
              </w:rPr>
              <w:t>2040</w:t>
            </w:r>
          </w:p>
        </w:tc>
        <w:tc>
          <w:tcPr>
            <w:tcW w:w="1859" w:type="dxa"/>
            <w:gridSpan w:val="2"/>
            <w:tcBorders>
              <w:top w:val="single" w:color="auto" w:sz="4" w:space="0"/>
              <w:left w:val="nil"/>
              <w:bottom w:val="single" w:color="auto" w:sz="4" w:space="0"/>
              <w:right w:val="single" w:color="auto" w:sz="4" w:space="0"/>
            </w:tcBorders>
            <w:vAlign w:val="center"/>
          </w:tcPr>
          <w:p w14:paraId="37560A64">
            <w:pPr>
              <w:adjustRightInd w:val="0"/>
              <w:snapToGrid w:val="0"/>
              <w:jc w:val="center"/>
              <w:rPr>
                <w:rFonts w:ascii="宋体" w:hAnsi="宋体" w:eastAsia="宋体"/>
                <w:sz w:val="18"/>
                <w:szCs w:val="18"/>
              </w:rPr>
            </w:pPr>
            <w:r>
              <w:rPr>
                <w:rFonts w:hint="eastAsia" w:ascii="宋体" w:hAnsi="宋体" w:eastAsia="宋体"/>
                <w:sz w:val="18"/>
                <w:szCs w:val="18"/>
              </w:rPr>
              <w:t>职业素养</w:t>
            </w:r>
          </w:p>
        </w:tc>
        <w:tc>
          <w:tcPr>
            <w:tcW w:w="731" w:type="dxa"/>
            <w:tcBorders>
              <w:top w:val="nil"/>
              <w:left w:val="nil"/>
              <w:bottom w:val="single" w:color="auto" w:sz="4" w:space="0"/>
              <w:right w:val="single" w:color="auto" w:sz="4" w:space="0"/>
            </w:tcBorders>
            <w:vAlign w:val="center"/>
          </w:tcPr>
          <w:p w14:paraId="05AD1CC3">
            <w:pPr>
              <w:adjustRightInd w:val="0"/>
              <w:snapToGrid w:val="0"/>
              <w:jc w:val="center"/>
              <w:rPr>
                <w:rFonts w:ascii="宋体" w:hAnsi="宋体" w:eastAsia="宋体"/>
                <w:sz w:val="18"/>
                <w:szCs w:val="18"/>
              </w:rPr>
            </w:pPr>
            <w:r>
              <w:rPr>
                <w:rFonts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60EB5EB9">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4C3816C7">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r>
              <w:rPr>
                <w:rFonts w:ascii="宋体" w:hAnsi="宋体" w:eastAsia="宋体"/>
                <w:kern w:val="0"/>
                <w:sz w:val="18"/>
                <w:szCs w:val="18"/>
              </w:rPr>
              <w:t>8</w:t>
            </w:r>
          </w:p>
        </w:tc>
        <w:tc>
          <w:tcPr>
            <w:tcW w:w="487" w:type="dxa"/>
            <w:tcBorders>
              <w:top w:val="nil"/>
              <w:left w:val="nil"/>
              <w:bottom w:val="single" w:color="auto" w:sz="4" w:space="0"/>
              <w:right w:val="single" w:color="auto" w:sz="4" w:space="0"/>
            </w:tcBorders>
            <w:vAlign w:val="center"/>
          </w:tcPr>
          <w:p w14:paraId="290E7CA1">
            <w:pPr>
              <w:adjustRightInd w:val="0"/>
              <w:snapToGrid w:val="0"/>
              <w:jc w:val="center"/>
              <w:rPr>
                <w:rFonts w:ascii="宋体" w:hAnsi="宋体" w:eastAsia="宋体"/>
                <w:kern w:val="0"/>
                <w:sz w:val="18"/>
                <w:szCs w:val="18"/>
              </w:rPr>
            </w:pPr>
          </w:p>
        </w:tc>
        <w:tc>
          <w:tcPr>
            <w:tcW w:w="651" w:type="dxa"/>
            <w:tcBorders>
              <w:top w:val="nil"/>
              <w:left w:val="nil"/>
              <w:bottom w:val="single" w:color="auto" w:sz="4" w:space="0"/>
              <w:right w:val="single" w:color="auto" w:sz="4" w:space="0"/>
            </w:tcBorders>
            <w:vAlign w:val="center"/>
          </w:tcPr>
          <w:p w14:paraId="2E21FB19">
            <w:pPr>
              <w:adjustRightInd w:val="0"/>
              <w:snapToGrid w:val="0"/>
              <w:jc w:val="center"/>
              <w:rPr>
                <w:rFonts w:ascii="宋体" w:hAnsi="宋体" w:eastAsia="宋体"/>
                <w:kern w:val="0"/>
                <w:sz w:val="18"/>
                <w:szCs w:val="18"/>
              </w:rPr>
            </w:pPr>
          </w:p>
        </w:tc>
        <w:tc>
          <w:tcPr>
            <w:tcW w:w="624" w:type="dxa"/>
            <w:tcBorders>
              <w:top w:val="nil"/>
              <w:left w:val="nil"/>
              <w:bottom w:val="single" w:color="auto" w:sz="4" w:space="0"/>
              <w:right w:val="single" w:color="auto" w:sz="4" w:space="0"/>
            </w:tcBorders>
            <w:vAlign w:val="center"/>
          </w:tcPr>
          <w:p w14:paraId="2A5C2B66">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27E8B9CB">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vAlign w:val="center"/>
          </w:tcPr>
          <w:p w14:paraId="2C143F45">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D6F852A">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6293405">
            <w:pPr>
              <w:widowControl/>
              <w:jc w:val="center"/>
              <w:rPr>
                <w:rFonts w:ascii="宋体" w:hAnsi="宋体" w:eastAsia="宋体" w:cs="宋体"/>
                <w:kern w:val="0"/>
                <w:sz w:val="18"/>
                <w:szCs w:val="18"/>
              </w:rPr>
            </w:pPr>
          </w:p>
        </w:tc>
      </w:tr>
      <w:tr w14:paraId="48EC0AE0">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A7CFB69">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0157C06D">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048DF066">
            <w:pPr>
              <w:adjustRightInd w:val="0"/>
              <w:snapToGrid w:val="0"/>
              <w:jc w:val="center"/>
              <w:rPr>
                <w:rFonts w:ascii="宋体" w:hAnsi="宋体" w:eastAsia="宋体"/>
                <w:kern w:val="0"/>
                <w:sz w:val="18"/>
                <w:szCs w:val="18"/>
              </w:rPr>
            </w:pPr>
            <w:r>
              <w:rPr>
                <w:rFonts w:ascii="宋体" w:hAnsi="宋体" w:eastAsia="宋体" w:cs="宋体"/>
                <w:kern w:val="0"/>
                <w:sz w:val="18"/>
                <w:szCs w:val="18"/>
              </w:rPr>
              <w:t>101205</w:t>
            </w:r>
            <w:r>
              <w:rPr>
                <w:rFonts w:hint="eastAsia" w:ascii="宋体" w:hAnsi="宋体" w:eastAsia="宋体" w:cs="宋体"/>
                <w:kern w:val="0"/>
                <w:sz w:val="18"/>
                <w:szCs w:val="18"/>
              </w:rPr>
              <w:t>1</w:t>
            </w:r>
          </w:p>
        </w:tc>
        <w:tc>
          <w:tcPr>
            <w:tcW w:w="1859" w:type="dxa"/>
            <w:gridSpan w:val="2"/>
            <w:tcBorders>
              <w:top w:val="single" w:color="auto" w:sz="4" w:space="0"/>
              <w:left w:val="nil"/>
              <w:bottom w:val="single" w:color="auto" w:sz="4" w:space="0"/>
              <w:right w:val="single" w:color="auto" w:sz="4" w:space="0"/>
            </w:tcBorders>
            <w:vAlign w:val="center"/>
          </w:tcPr>
          <w:p w14:paraId="41AA2D46">
            <w:pPr>
              <w:adjustRightInd w:val="0"/>
              <w:snapToGrid w:val="0"/>
              <w:jc w:val="center"/>
              <w:rPr>
                <w:rFonts w:ascii="宋体" w:hAnsi="宋体" w:eastAsia="宋体"/>
                <w:sz w:val="18"/>
                <w:szCs w:val="18"/>
              </w:rPr>
            </w:pPr>
            <w:r>
              <w:rPr>
                <w:rFonts w:hint="eastAsia" w:ascii="宋体" w:hAnsi="宋体" w:eastAsia="宋体"/>
                <w:sz w:val="18"/>
                <w:szCs w:val="18"/>
              </w:rPr>
              <w:t>创新创业教育</w:t>
            </w:r>
          </w:p>
        </w:tc>
        <w:tc>
          <w:tcPr>
            <w:tcW w:w="731" w:type="dxa"/>
            <w:tcBorders>
              <w:top w:val="nil"/>
              <w:left w:val="nil"/>
              <w:bottom w:val="single" w:color="auto" w:sz="4" w:space="0"/>
              <w:right w:val="single" w:color="auto" w:sz="4" w:space="0"/>
            </w:tcBorders>
            <w:vAlign w:val="center"/>
          </w:tcPr>
          <w:p w14:paraId="0CD90CD5">
            <w:pPr>
              <w:adjustRightInd w:val="0"/>
              <w:snapToGrid w:val="0"/>
              <w:jc w:val="center"/>
              <w:rPr>
                <w:rFonts w:ascii="宋体" w:hAnsi="宋体" w:eastAsia="宋体"/>
                <w:sz w:val="18"/>
                <w:szCs w:val="18"/>
              </w:rPr>
            </w:pPr>
            <w:r>
              <w:rPr>
                <w:rFonts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40FEE563">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1670BED">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r>
              <w:rPr>
                <w:rFonts w:ascii="宋体" w:hAnsi="宋体" w:eastAsia="宋体"/>
                <w:kern w:val="0"/>
                <w:sz w:val="18"/>
                <w:szCs w:val="18"/>
              </w:rPr>
              <w:t>8</w:t>
            </w:r>
          </w:p>
        </w:tc>
        <w:tc>
          <w:tcPr>
            <w:tcW w:w="487" w:type="dxa"/>
            <w:tcBorders>
              <w:top w:val="nil"/>
              <w:left w:val="nil"/>
              <w:bottom w:val="single" w:color="auto" w:sz="4" w:space="0"/>
              <w:right w:val="single" w:color="auto" w:sz="4" w:space="0"/>
            </w:tcBorders>
            <w:vAlign w:val="center"/>
          </w:tcPr>
          <w:p w14:paraId="3AF27B71">
            <w:pPr>
              <w:adjustRightInd w:val="0"/>
              <w:snapToGrid w:val="0"/>
              <w:jc w:val="center"/>
              <w:rPr>
                <w:rFonts w:ascii="宋体" w:hAnsi="宋体" w:eastAsia="宋体"/>
                <w:kern w:val="0"/>
                <w:sz w:val="18"/>
                <w:szCs w:val="18"/>
              </w:rPr>
            </w:pPr>
          </w:p>
        </w:tc>
        <w:tc>
          <w:tcPr>
            <w:tcW w:w="651" w:type="dxa"/>
            <w:tcBorders>
              <w:top w:val="nil"/>
              <w:left w:val="nil"/>
              <w:bottom w:val="single" w:color="auto" w:sz="4" w:space="0"/>
              <w:right w:val="single" w:color="auto" w:sz="4" w:space="0"/>
            </w:tcBorders>
            <w:vAlign w:val="center"/>
          </w:tcPr>
          <w:p w14:paraId="3723AA37">
            <w:pPr>
              <w:adjustRightInd w:val="0"/>
              <w:snapToGrid w:val="0"/>
              <w:jc w:val="center"/>
              <w:rPr>
                <w:rFonts w:ascii="宋体" w:hAnsi="宋体" w:eastAsia="宋体"/>
                <w:kern w:val="0"/>
                <w:sz w:val="18"/>
                <w:szCs w:val="18"/>
              </w:rPr>
            </w:pPr>
          </w:p>
        </w:tc>
        <w:tc>
          <w:tcPr>
            <w:tcW w:w="624" w:type="dxa"/>
            <w:tcBorders>
              <w:top w:val="nil"/>
              <w:left w:val="nil"/>
              <w:bottom w:val="single" w:color="auto" w:sz="4" w:space="0"/>
              <w:right w:val="single" w:color="auto" w:sz="4" w:space="0"/>
            </w:tcBorders>
            <w:vAlign w:val="center"/>
          </w:tcPr>
          <w:p w14:paraId="3CA29448">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C813A91">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vAlign w:val="center"/>
          </w:tcPr>
          <w:p w14:paraId="10C8789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25FBC9B">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536E3DA">
            <w:pPr>
              <w:widowControl/>
              <w:jc w:val="center"/>
              <w:rPr>
                <w:rFonts w:ascii="宋体" w:hAnsi="宋体" w:eastAsia="宋体" w:cs="宋体"/>
                <w:kern w:val="0"/>
                <w:sz w:val="18"/>
                <w:szCs w:val="18"/>
              </w:rPr>
            </w:pPr>
          </w:p>
        </w:tc>
      </w:tr>
      <w:tr w14:paraId="62A2573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67EE6AE6">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44856598">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6E8FD25A">
            <w:pPr>
              <w:adjustRightInd w:val="0"/>
              <w:snapToGrid w:val="0"/>
              <w:jc w:val="center"/>
              <w:rPr>
                <w:rFonts w:ascii="宋体" w:hAnsi="宋体" w:eastAsia="宋体"/>
                <w:kern w:val="0"/>
                <w:sz w:val="18"/>
                <w:szCs w:val="18"/>
              </w:rPr>
            </w:pPr>
            <w:r>
              <w:rPr>
                <w:rFonts w:hint="eastAsia" w:ascii="宋体" w:hAnsi="宋体" w:eastAsia="宋体"/>
                <w:kern w:val="0"/>
                <w:sz w:val="18"/>
                <w:szCs w:val="18"/>
              </w:rPr>
              <w:t>1021031</w:t>
            </w:r>
          </w:p>
        </w:tc>
        <w:tc>
          <w:tcPr>
            <w:tcW w:w="1859" w:type="dxa"/>
            <w:gridSpan w:val="2"/>
            <w:tcBorders>
              <w:top w:val="single" w:color="auto" w:sz="4" w:space="0"/>
              <w:left w:val="nil"/>
              <w:bottom w:val="single" w:color="auto" w:sz="4" w:space="0"/>
              <w:right w:val="single" w:color="auto" w:sz="4" w:space="0"/>
            </w:tcBorders>
            <w:vAlign w:val="center"/>
          </w:tcPr>
          <w:p w14:paraId="3EC012B9">
            <w:pPr>
              <w:adjustRightInd w:val="0"/>
              <w:snapToGrid w:val="0"/>
              <w:jc w:val="center"/>
              <w:rPr>
                <w:rFonts w:ascii="宋体" w:hAnsi="宋体" w:eastAsia="宋体"/>
                <w:sz w:val="18"/>
                <w:szCs w:val="18"/>
              </w:rPr>
            </w:pPr>
            <w:r>
              <w:rPr>
                <w:rFonts w:hint="eastAsia" w:ascii="宋体" w:hAnsi="宋体" w:eastAsia="宋体"/>
                <w:sz w:val="18"/>
                <w:szCs w:val="18"/>
              </w:rPr>
              <w:t>社交礼仪</w:t>
            </w:r>
          </w:p>
        </w:tc>
        <w:tc>
          <w:tcPr>
            <w:tcW w:w="731" w:type="dxa"/>
            <w:tcBorders>
              <w:top w:val="nil"/>
              <w:left w:val="nil"/>
              <w:bottom w:val="single" w:color="auto" w:sz="4" w:space="0"/>
              <w:right w:val="single" w:color="auto" w:sz="4" w:space="0"/>
            </w:tcBorders>
            <w:vAlign w:val="center"/>
          </w:tcPr>
          <w:p w14:paraId="1ECAF285">
            <w:pPr>
              <w:adjustRightInd w:val="0"/>
              <w:snapToGrid w:val="0"/>
              <w:jc w:val="center"/>
              <w:rPr>
                <w:rFonts w:ascii="宋体" w:hAnsi="宋体" w:eastAsia="宋体"/>
                <w:sz w:val="18"/>
                <w:szCs w:val="18"/>
              </w:rPr>
            </w:pPr>
            <w:r>
              <w:rPr>
                <w:rFonts w:hint="eastAsia"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5A6F8A8F">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35D7ADCA">
            <w:pPr>
              <w:adjustRightInd w:val="0"/>
              <w:snapToGrid w:val="0"/>
              <w:jc w:val="center"/>
              <w:rPr>
                <w:rFonts w:ascii="宋体" w:hAnsi="宋体" w:eastAsia="宋体"/>
                <w:kern w:val="0"/>
                <w:sz w:val="18"/>
                <w:szCs w:val="18"/>
              </w:rPr>
            </w:pPr>
          </w:p>
        </w:tc>
        <w:tc>
          <w:tcPr>
            <w:tcW w:w="487" w:type="dxa"/>
            <w:tcBorders>
              <w:top w:val="single" w:color="auto" w:sz="4" w:space="0"/>
              <w:left w:val="single" w:color="auto" w:sz="4" w:space="0"/>
              <w:bottom w:val="single" w:color="auto" w:sz="4" w:space="0"/>
              <w:right w:val="single" w:color="auto" w:sz="4" w:space="0"/>
            </w:tcBorders>
            <w:vAlign w:val="center"/>
          </w:tcPr>
          <w:p w14:paraId="49B0D0D5">
            <w:pPr>
              <w:adjustRightInd w:val="0"/>
              <w:snapToGrid w:val="0"/>
              <w:jc w:val="center"/>
              <w:rPr>
                <w:rFonts w:ascii="宋体" w:hAnsi="宋体" w:eastAsia="宋体"/>
                <w:kern w:val="0"/>
                <w:sz w:val="18"/>
                <w:szCs w:val="18"/>
              </w:rPr>
            </w:pPr>
          </w:p>
        </w:tc>
        <w:tc>
          <w:tcPr>
            <w:tcW w:w="651" w:type="dxa"/>
            <w:tcBorders>
              <w:top w:val="single" w:color="auto" w:sz="4" w:space="0"/>
              <w:left w:val="single" w:color="auto" w:sz="4" w:space="0"/>
              <w:bottom w:val="single" w:color="auto" w:sz="4" w:space="0"/>
              <w:right w:val="single" w:color="auto" w:sz="4" w:space="0"/>
            </w:tcBorders>
            <w:vAlign w:val="center"/>
          </w:tcPr>
          <w:p w14:paraId="65AEBC6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tcBorders>
              <w:top w:val="single" w:color="auto" w:sz="4" w:space="0"/>
              <w:left w:val="single" w:color="auto" w:sz="4" w:space="0"/>
              <w:bottom w:val="single" w:color="auto" w:sz="4" w:space="0"/>
              <w:right w:val="single" w:color="auto" w:sz="4" w:space="0"/>
            </w:tcBorders>
            <w:vAlign w:val="center"/>
          </w:tcPr>
          <w:p w14:paraId="4F25732E">
            <w:pPr>
              <w:widowControl/>
              <w:jc w:val="center"/>
              <w:rPr>
                <w:rFonts w:ascii="宋体" w:hAnsi="宋体" w:eastAsia="宋体" w:cs="宋体"/>
                <w:kern w:val="0"/>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EBF387F">
            <w:pPr>
              <w:widowControl/>
              <w:jc w:val="center"/>
              <w:rPr>
                <w:rFonts w:ascii="宋体" w:hAnsi="宋体" w:eastAsia="宋体" w:cs="宋体"/>
                <w:kern w:val="0"/>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2BFA001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2ADCED8">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5F15E0E">
            <w:pPr>
              <w:widowControl/>
              <w:jc w:val="center"/>
              <w:rPr>
                <w:rFonts w:ascii="宋体" w:hAnsi="宋体" w:eastAsia="宋体" w:cs="宋体"/>
                <w:kern w:val="0"/>
                <w:sz w:val="18"/>
                <w:szCs w:val="18"/>
              </w:rPr>
            </w:pPr>
          </w:p>
        </w:tc>
      </w:tr>
      <w:tr w14:paraId="6C29469C">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E774AE5">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41AE7759">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643445ED">
            <w:pPr>
              <w:adjustRightInd w:val="0"/>
              <w:snapToGrid w:val="0"/>
              <w:jc w:val="center"/>
              <w:rPr>
                <w:rFonts w:ascii="宋体" w:hAnsi="宋体" w:eastAsia="宋体"/>
                <w:kern w:val="0"/>
                <w:sz w:val="18"/>
                <w:szCs w:val="18"/>
              </w:rPr>
            </w:pPr>
            <w:r>
              <w:rPr>
                <w:rFonts w:hint="eastAsia" w:ascii="宋体" w:hAnsi="宋体" w:eastAsia="宋体"/>
                <w:kern w:val="0"/>
                <w:sz w:val="18"/>
                <w:szCs w:val="18"/>
              </w:rPr>
              <w:t>1032055</w:t>
            </w:r>
          </w:p>
        </w:tc>
        <w:tc>
          <w:tcPr>
            <w:tcW w:w="1859" w:type="dxa"/>
            <w:gridSpan w:val="2"/>
            <w:tcBorders>
              <w:top w:val="single" w:color="auto" w:sz="4" w:space="0"/>
              <w:left w:val="nil"/>
              <w:bottom w:val="single" w:color="auto" w:sz="4" w:space="0"/>
              <w:right w:val="single" w:color="auto" w:sz="4" w:space="0"/>
            </w:tcBorders>
            <w:vAlign w:val="center"/>
          </w:tcPr>
          <w:p w14:paraId="1F8DD41F">
            <w:pPr>
              <w:adjustRightInd w:val="0"/>
              <w:snapToGrid w:val="0"/>
              <w:jc w:val="center"/>
              <w:rPr>
                <w:rFonts w:ascii="宋体" w:hAnsi="宋体" w:eastAsia="宋体"/>
                <w:sz w:val="18"/>
                <w:szCs w:val="18"/>
              </w:rPr>
            </w:pPr>
            <w:r>
              <w:rPr>
                <w:rFonts w:hint="eastAsia" w:ascii="宋体" w:hAnsi="宋体" w:eastAsia="宋体"/>
                <w:sz w:val="18"/>
                <w:szCs w:val="18"/>
              </w:rPr>
              <w:t>健康教育</w:t>
            </w:r>
          </w:p>
        </w:tc>
        <w:tc>
          <w:tcPr>
            <w:tcW w:w="731" w:type="dxa"/>
            <w:tcBorders>
              <w:top w:val="nil"/>
              <w:left w:val="nil"/>
              <w:bottom w:val="single" w:color="auto" w:sz="4" w:space="0"/>
              <w:right w:val="single" w:color="auto" w:sz="4" w:space="0"/>
            </w:tcBorders>
            <w:vAlign w:val="center"/>
          </w:tcPr>
          <w:p w14:paraId="030378DB">
            <w:pPr>
              <w:adjustRightInd w:val="0"/>
              <w:snapToGrid w:val="0"/>
              <w:jc w:val="center"/>
              <w:rPr>
                <w:rFonts w:ascii="宋体" w:hAnsi="宋体" w:eastAsia="宋体"/>
                <w:sz w:val="18"/>
                <w:szCs w:val="18"/>
              </w:rPr>
            </w:pPr>
            <w:r>
              <w:rPr>
                <w:rFonts w:hint="eastAsia" w:ascii="宋体" w:hAnsi="宋体" w:eastAsia="宋体"/>
                <w:sz w:val="18"/>
                <w:szCs w:val="18"/>
              </w:rPr>
              <w:t>18</w:t>
            </w:r>
          </w:p>
        </w:tc>
        <w:tc>
          <w:tcPr>
            <w:tcW w:w="613" w:type="dxa"/>
            <w:tcBorders>
              <w:top w:val="nil"/>
              <w:left w:val="nil"/>
              <w:bottom w:val="single" w:color="auto" w:sz="4" w:space="0"/>
              <w:right w:val="single" w:color="auto" w:sz="4" w:space="0"/>
            </w:tcBorders>
            <w:vAlign w:val="center"/>
          </w:tcPr>
          <w:p w14:paraId="0F44B56F">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0CF837C5">
            <w:pPr>
              <w:adjustRightInd w:val="0"/>
              <w:snapToGrid w:val="0"/>
              <w:jc w:val="center"/>
              <w:rPr>
                <w:rFonts w:ascii="宋体" w:hAnsi="宋体" w:eastAsia="宋体"/>
                <w:kern w:val="0"/>
                <w:sz w:val="18"/>
                <w:szCs w:val="18"/>
              </w:rPr>
            </w:pPr>
          </w:p>
        </w:tc>
        <w:tc>
          <w:tcPr>
            <w:tcW w:w="487" w:type="dxa"/>
            <w:tcBorders>
              <w:top w:val="single" w:color="auto" w:sz="4" w:space="0"/>
              <w:left w:val="single" w:color="auto" w:sz="4" w:space="0"/>
              <w:bottom w:val="single" w:color="auto" w:sz="4" w:space="0"/>
              <w:right w:val="single" w:color="auto" w:sz="4" w:space="0"/>
            </w:tcBorders>
            <w:vAlign w:val="center"/>
          </w:tcPr>
          <w:p w14:paraId="76328CFA">
            <w:pPr>
              <w:adjustRightInd w:val="0"/>
              <w:snapToGrid w:val="0"/>
              <w:jc w:val="center"/>
              <w:rPr>
                <w:rFonts w:ascii="宋体" w:hAnsi="宋体" w:eastAsia="宋体"/>
                <w:kern w:val="0"/>
                <w:sz w:val="18"/>
                <w:szCs w:val="18"/>
              </w:rPr>
            </w:pPr>
          </w:p>
        </w:tc>
        <w:tc>
          <w:tcPr>
            <w:tcW w:w="651" w:type="dxa"/>
            <w:vMerge w:val="restart"/>
            <w:tcBorders>
              <w:top w:val="single" w:color="auto" w:sz="4" w:space="0"/>
              <w:left w:val="single" w:color="auto" w:sz="4" w:space="0"/>
              <w:bottom w:val="single" w:color="auto" w:sz="4" w:space="0"/>
              <w:right w:val="single" w:color="auto" w:sz="4" w:space="0"/>
            </w:tcBorders>
            <w:vAlign w:val="center"/>
          </w:tcPr>
          <w:p w14:paraId="0087DB4C">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624" w:type="dxa"/>
            <w:vMerge w:val="restart"/>
            <w:tcBorders>
              <w:top w:val="single" w:color="auto" w:sz="4" w:space="0"/>
              <w:left w:val="single" w:color="auto" w:sz="4" w:space="0"/>
              <w:bottom w:val="single" w:color="auto" w:sz="4" w:space="0"/>
              <w:right w:val="single" w:color="auto" w:sz="4" w:space="0"/>
            </w:tcBorders>
            <w:vAlign w:val="center"/>
          </w:tcPr>
          <w:p w14:paraId="4E91F03C">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54B607C">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08F6A5B8">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9DC11CF">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52E7B2E">
            <w:pPr>
              <w:widowControl/>
              <w:jc w:val="center"/>
              <w:rPr>
                <w:rFonts w:ascii="宋体" w:hAnsi="宋体" w:eastAsia="宋体" w:cs="宋体"/>
                <w:kern w:val="0"/>
                <w:sz w:val="18"/>
                <w:szCs w:val="18"/>
              </w:rPr>
            </w:pPr>
          </w:p>
        </w:tc>
      </w:tr>
      <w:tr w14:paraId="763C019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77091B7">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0E35004E">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6BCBC9B5">
            <w:pPr>
              <w:adjustRightInd w:val="0"/>
              <w:snapToGrid w:val="0"/>
              <w:jc w:val="center"/>
              <w:rPr>
                <w:rFonts w:ascii="宋体" w:hAnsi="宋体" w:eastAsia="宋体"/>
                <w:kern w:val="0"/>
                <w:sz w:val="18"/>
                <w:szCs w:val="18"/>
              </w:rPr>
            </w:pPr>
            <w:r>
              <w:rPr>
                <w:rFonts w:hint="eastAsia" w:ascii="宋体" w:hAnsi="宋体" w:eastAsia="宋体"/>
                <w:kern w:val="0"/>
                <w:sz w:val="18"/>
                <w:szCs w:val="18"/>
              </w:rPr>
              <w:t>1032056</w:t>
            </w:r>
          </w:p>
        </w:tc>
        <w:tc>
          <w:tcPr>
            <w:tcW w:w="1859" w:type="dxa"/>
            <w:gridSpan w:val="2"/>
            <w:tcBorders>
              <w:top w:val="single" w:color="auto" w:sz="4" w:space="0"/>
              <w:left w:val="nil"/>
              <w:bottom w:val="single" w:color="auto" w:sz="4" w:space="0"/>
              <w:right w:val="single" w:color="auto" w:sz="4" w:space="0"/>
            </w:tcBorders>
            <w:vAlign w:val="center"/>
          </w:tcPr>
          <w:p w14:paraId="151D66AF">
            <w:pPr>
              <w:adjustRightInd w:val="0"/>
              <w:snapToGrid w:val="0"/>
              <w:jc w:val="center"/>
              <w:rPr>
                <w:rFonts w:ascii="宋体" w:hAnsi="宋体" w:eastAsia="宋体"/>
                <w:sz w:val="18"/>
                <w:szCs w:val="18"/>
              </w:rPr>
            </w:pPr>
            <w:r>
              <w:rPr>
                <w:rFonts w:hint="eastAsia" w:ascii="宋体" w:hAnsi="宋体" w:eastAsia="宋体"/>
                <w:sz w:val="18"/>
                <w:szCs w:val="18"/>
              </w:rPr>
              <w:t>环保教育</w:t>
            </w:r>
          </w:p>
        </w:tc>
        <w:tc>
          <w:tcPr>
            <w:tcW w:w="731" w:type="dxa"/>
            <w:tcBorders>
              <w:top w:val="nil"/>
              <w:left w:val="nil"/>
              <w:bottom w:val="single" w:color="auto" w:sz="4" w:space="0"/>
              <w:right w:val="single" w:color="auto" w:sz="4" w:space="0"/>
            </w:tcBorders>
            <w:vAlign w:val="center"/>
          </w:tcPr>
          <w:p w14:paraId="55B1379B">
            <w:pPr>
              <w:adjustRightInd w:val="0"/>
              <w:snapToGrid w:val="0"/>
              <w:jc w:val="center"/>
              <w:rPr>
                <w:rFonts w:ascii="宋体" w:hAnsi="宋体" w:eastAsia="宋体"/>
                <w:sz w:val="18"/>
                <w:szCs w:val="18"/>
              </w:rPr>
            </w:pPr>
            <w:r>
              <w:rPr>
                <w:rFonts w:hint="eastAsia" w:ascii="宋体" w:hAnsi="宋体" w:eastAsia="宋体"/>
                <w:sz w:val="18"/>
                <w:szCs w:val="18"/>
              </w:rPr>
              <w:t>18</w:t>
            </w:r>
          </w:p>
        </w:tc>
        <w:tc>
          <w:tcPr>
            <w:tcW w:w="613" w:type="dxa"/>
            <w:tcBorders>
              <w:top w:val="nil"/>
              <w:left w:val="nil"/>
              <w:bottom w:val="single" w:color="auto" w:sz="4" w:space="0"/>
              <w:right w:val="single" w:color="auto" w:sz="4" w:space="0"/>
            </w:tcBorders>
            <w:vAlign w:val="center"/>
          </w:tcPr>
          <w:p w14:paraId="4A40D8A6">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4EF0E403">
            <w:pPr>
              <w:adjustRightInd w:val="0"/>
              <w:snapToGrid w:val="0"/>
              <w:jc w:val="center"/>
              <w:rPr>
                <w:rFonts w:ascii="宋体" w:hAnsi="宋体" w:eastAsia="宋体"/>
                <w:kern w:val="0"/>
                <w:sz w:val="18"/>
                <w:szCs w:val="18"/>
              </w:rPr>
            </w:pPr>
          </w:p>
        </w:tc>
        <w:tc>
          <w:tcPr>
            <w:tcW w:w="487" w:type="dxa"/>
            <w:tcBorders>
              <w:top w:val="single" w:color="auto" w:sz="4" w:space="0"/>
              <w:left w:val="nil"/>
              <w:bottom w:val="single" w:color="auto" w:sz="4" w:space="0"/>
              <w:right w:val="single" w:color="auto" w:sz="4" w:space="0"/>
            </w:tcBorders>
            <w:vAlign w:val="center"/>
          </w:tcPr>
          <w:p w14:paraId="550EDC70">
            <w:pPr>
              <w:adjustRightInd w:val="0"/>
              <w:snapToGrid w:val="0"/>
              <w:jc w:val="center"/>
              <w:rPr>
                <w:rFonts w:ascii="宋体" w:hAnsi="宋体" w:eastAsia="宋体"/>
                <w:kern w:val="0"/>
                <w:sz w:val="18"/>
                <w:szCs w:val="18"/>
              </w:rPr>
            </w:pPr>
          </w:p>
        </w:tc>
        <w:tc>
          <w:tcPr>
            <w:tcW w:w="651" w:type="dxa"/>
            <w:vMerge w:val="continue"/>
            <w:tcBorders>
              <w:top w:val="single" w:color="auto" w:sz="4" w:space="0"/>
              <w:left w:val="nil"/>
              <w:right w:val="single" w:color="auto" w:sz="4" w:space="0"/>
            </w:tcBorders>
            <w:vAlign w:val="center"/>
          </w:tcPr>
          <w:p w14:paraId="23FF6986">
            <w:pPr>
              <w:adjustRightInd w:val="0"/>
              <w:snapToGrid w:val="0"/>
              <w:jc w:val="center"/>
              <w:rPr>
                <w:rFonts w:ascii="宋体" w:hAnsi="宋体" w:eastAsia="宋体"/>
                <w:kern w:val="0"/>
                <w:sz w:val="18"/>
                <w:szCs w:val="18"/>
              </w:rPr>
            </w:pPr>
          </w:p>
        </w:tc>
        <w:tc>
          <w:tcPr>
            <w:tcW w:w="624" w:type="dxa"/>
            <w:vMerge w:val="continue"/>
            <w:tcBorders>
              <w:top w:val="single" w:color="auto" w:sz="4" w:space="0"/>
              <w:left w:val="nil"/>
              <w:right w:val="single" w:color="auto" w:sz="4" w:space="0"/>
            </w:tcBorders>
            <w:vAlign w:val="center"/>
          </w:tcPr>
          <w:p w14:paraId="08331F4C">
            <w:pPr>
              <w:adjustRightInd w:val="0"/>
              <w:snapToGrid w:val="0"/>
              <w:jc w:val="center"/>
              <w:rPr>
                <w:rFonts w:ascii="宋体" w:hAnsi="宋体" w:eastAsia="宋体"/>
                <w:kern w:val="0"/>
                <w:sz w:val="18"/>
                <w:szCs w:val="18"/>
              </w:rPr>
            </w:pPr>
          </w:p>
        </w:tc>
        <w:tc>
          <w:tcPr>
            <w:tcW w:w="709" w:type="dxa"/>
            <w:vMerge w:val="continue"/>
            <w:tcBorders>
              <w:top w:val="single" w:color="auto" w:sz="4" w:space="0"/>
              <w:left w:val="nil"/>
              <w:right w:val="single" w:color="auto" w:sz="4" w:space="0"/>
            </w:tcBorders>
            <w:vAlign w:val="center"/>
          </w:tcPr>
          <w:p w14:paraId="448C9C7E">
            <w:pPr>
              <w:widowControl/>
              <w:jc w:val="center"/>
              <w:rPr>
                <w:rFonts w:ascii="宋体" w:hAnsi="宋体" w:eastAsia="宋体" w:cs="宋体"/>
                <w:kern w:val="0"/>
                <w:sz w:val="18"/>
                <w:szCs w:val="18"/>
              </w:rPr>
            </w:pPr>
          </w:p>
        </w:tc>
        <w:tc>
          <w:tcPr>
            <w:tcW w:w="567" w:type="dxa"/>
            <w:tcBorders>
              <w:top w:val="single" w:color="auto" w:sz="4" w:space="0"/>
              <w:left w:val="nil"/>
              <w:bottom w:val="single" w:color="auto" w:sz="4" w:space="0"/>
              <w:right w:val="single" w:color="auto" w:sz="4" w:space="0"/>
            </w:tcBorders>
            <w:vAlign w:val="center"/>
          </w:tcPr>
          <w:p w14:paraId="0919B5A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0F3EC3E">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B6494EF">
            <w:pPr>
              <w:widowControl/>
              <w:jc w:val="center"/>
              <w:rPr>
                <w:rFonts w:ascii="宋体" w:hAnsi="宋体" w:eastAsia="宋体" w:cs="宋体"/>
                <w:kern w:val="0"/>
                <w:sz w:val="18"/>
                <w:szCs w:val="18"/>
              </w:rPr>
            </w:pPr>
          </w:p>
        </w:tc>
      </w:tr>
      <w:tr w14:paraId="72E45A3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CAB561D">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0F835766">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1AAC3336">
            <w:pPr>
              <w:adjustRightInd w:val="0"/>
              <w:snapToGrid w:val="0"/>
              <w:jc w:val="center"/>
              <w:rPr>
                <w:rFonts w:ascii="宋体" w:hAnsi="宋体" w:eastAsia="宋体"/>
                <w:kern w:val="0"/>
                <w:sz w:val="18"/>
                <w:szCs w:val="18"/>
              </w:rPr>
            </w:pPr>
            <w:r>
              <w:rPr>
                <w:rFonts w:hint="eastAsia" w:ascii="宋体" w:hAnsi="宋体" w:eastAsia="宋体"/>
                <w:kern w:val="0"/>
                <w:sz w:val="18"/>
                <w:szCs w:val="18"/>
              </w:rPr>
              <w:t>1032057</w:t>
            </w:r>
          </w:p>
        </w:tc>
        <w:tc>
          <w:tcPr>
            <w:tcW w:w="1859" w:type="dxa"/>
            <w:gridSpan w:val="2"/>
            <w:tcBorders>
              <w:top w:val="single" w:color="auto" w:sz="4" w:space="0"/>
              <w:left w:val="nil"/>
              <w:bottom w:val="single" w:color="auto" w:sz="4" w:space="0"/>
              <w:right w:val="single" w:color="auto" w:sz="4" w:space="0"/>
            </w:tcBorders>
            <w:vAlign w:val="center"/>
          </w:tcPr>
          <w:p w14:paraId="42541C16">
            <w:pPr>
              <w:adjustRightInd w:val="0"/>
              <w:snapToGrid w:val="0"/>
              <w:jc w:val="center"/>
              <w:rPr>
                <w:rFonts w:ascii="宋体" w:hAnsi="宋体" w:eastAsia="宋体"/>
                <w:sz w:val="18"/>
                <w:szCs w:val="18"/>
              </w:rPr>
            </w:pPr>
            <w:r>
              <w:rPr>
                <w:rFonts w:hint="eastAsia" w:ascii="宋体" w:hAnsi="宋体" w:eastAsia="宋体"/>
                <w:kern w:val="0"/>
                <w:sz w:val="18"/>
                <w:szCs w:val="18"/>
              </w:rPr>
              <w:t>安</w:t>
            </w:r>
            <w:r>
              <w:rPr>
                <w:rFonts w:hint="eastAsia" w:ascii="宋体" w:hAnsi="宋体" w:eastAsia="宋体"/>
                <w:sz w:val="18"/>
                <w:szCs w:val="18"/>
              </w:rPr>
              <w:t>全教育</w:t>
            </w:r>
          </w:p>
        </w:tc>
        <w:tc>
          <w:tcPr>
            <w:tcW w:w="731" w:type="dxa"/>
            <w:tcBorders>
              <w:top w:val="nil"/>
              <w:left w:val="nil"/>
              <w:bottom w:val="single" w:color="auto" w:sz="4" w:space="0"/>
              <w:right w:val="single" w:color="auto" w:sz="4" w:space="0"/>
            </w:tcBorders>
            <w:vAlign w:val="center"/>
          </w:tcPr>
          <w:p w14:paraId="320E31E5">
            <w:pPr>
              <w:adjustRightInd w:val="0"/>
              <w:snapToGrid w:val="0"/>
              <w:jc w:val="center"/>
              <w:rPr>
                <w:rFonts w:ascii="宋体" w:hAnsi="宋体" w:eastAsia="宋体"/>
                <w:sz w:val="18"/>
                <w:szCs w:val="18"/>
              </w:rPr>
            </w:pPr>
            <w:r>
              <w:rPr>
                <w:rFonts w:hint="eastAsia" w:ascii="宋体" w:hAnsi="宋体" w:eastAsia="宋体"/>
                <w:sz w:val="18"/>
                <w:szCs w:val="18"/>
              </w:rPr>
              <w:t>18</w:t>
            </w:r>
          </w:p>
        </w:tc>
        <w:tc>
          <w:tcPr>
            <w:tcW w:w="613" w:type="dxa"/>
            <w:tcBorders>
              <w:top w:val="nil"/>
              <w:left w:val="nil"/>
              <w:bottom w:val="single" w:color="auto" w:sz="4" w:space="0"/>
              <w:right w:val="single" w:color="auto" w:sz="4" w:space="0"/>
            </w:tcBorders>
            <w:vAlign w:val="center"/>
          </w:tcPr>
          <w:p w14:paraId="40D72B9B">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5BB01581">
            <w:pPr>
              <w:adjustRightInd w:val="0"/>
              <w:snapToGrid w:val="0"/>
              <w:jc w:val="center"/>
              <w:rPr>
                <w:rFonts w:ascii="宋体" w:hAnsi="宋体" w:eastAsia="宋体"/>
                <w:kern w:val="0"/>
                <w:sz w:val="18"/>
                <w:szCs w:val="18"/>
              </w:rPr>
            </w:pPr>
          </w:p>
        </w:tc>
        <w:tc>
          <w:tcPr>
            <w:tcW w:w="487" w:type="dxa"/>
            <w:tcBorders>
              <w:top w:val="nil"/>
              <w:left w:val="nil"/>
              <w:bottom w:val="single" w:color="auto" w:sz="4" w:space="0"/>
              <w:right w:val="single" w:color="auto" w:sz="4" w:space="0"/>
            </w:tcBorders>
            <w:vAlign w:val="center"/>
          </w:tcPr>
          <w:p w14:paraId="2FD687C5">
            <w:pPr>
              <w:adjustRightInd w:val="0"/>
              <w:snapToGrid w:val="0"/>
              <w:jc w:val="center"/>
              <w:rPr>
                <w:rFonts w:ascii="宋体" w:hAnsi="宋体" w:eastAsia="宋体"/>
                <w:kern w:val="0"/>
                <w:sz w:val="18"/>
                <w:szCs w:val="18"/>
              </w:rPr>
            </w:pPr>
          </w:p>
        </w:tc>
        <w:tc>
          <w:tcPr>
            <w:tcW w:w="651" w:type="dxa"/>
            <w:vMerge w:val="continue"/>
            <w:tcBorders>
              <w:left w:val="nil"/>
              <w:right w:val="single" w:color="auto" w:sz="4" w:space="0"/>
            </w:tcBorders>
            <w:vAlign w:val="center"/>
          </w:tcPr>
          <w:p w14:paraId="2503C1C6">
            <w:pPr>
              <w:adjustRightInd w:val="0"/>
              <w:snapToGrid w:val="0"/>
              <w:jc w:val="center"/>
              <w:rPr>
                <w:rFonts w:ascii="宋体" w:hAnsi="宋体" w:eastAsia="宋体"/>
                <w:kern w:val="0"/>
                <w:sz w:val="18"/>
                <w:szCs w:val="18"/>
              </w:rPr>
            </w:pPr>
          </w:p>
        </w:tc>
        <w:tc>
          <w:tcPr>
            <w:tcW w:w="624" w:type="dxa"/>
            <w:vMerge w:val="continue"/>
            <w:tcBorders>
              <w:left w:val="nil"/>
              <w:right w:val="single" w:color="auto" w:sz="4" w:space="0"/>
            </w:tcBorders>
            <w:vAlign w:val="center"/>
          </w:tcPr>
          <w:p w14:paraId="61417733">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4F0FFFC1">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F0C2C5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5127C17">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63A93E3D">
            <w:pPr>
              <w:widowControl/>
              <w:jc w:val="center"/>
              <w:rPr>
                <w:rFonts w:ascii="宋体" w:hAnsi="宋体" w:eastAsia="宋体" w:cs="宋体"/>
                <w:kern w:val="0"/>
                <w:sz w:val="18"/>
                <w:szCs w:val="18"/>
              </w:rPr>
            </w:pPr>
          </w:p>
        </w:tc>
      </w:tr>
      <w:tr w14:paraId="77E8FDE3">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7816E315">
            <w:pPr>
              <w:widowControl/>
              <w:jc w:val="left"/>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5D88C070">
            <w:pPr>
              <w:widowControl/>
              <w:jc w:val="left"/>
              <w:rPr>
                <w:rFonts w:ascii="宋体" w:hAnsi="宋体" w:eastAsia="宋体" w:cs="宋体"/>
                <w:kern w:val="0"/>
                <w:sz w:val="18"/>
                <w:szCs w:val="18"/>
              </w:rPr>
            </w:pPr>
          </w:p>
        </w:tc>
        <w:tc>
          <w:tcPr>
            <w:tcW w:w="1134" w:type="dxa"/>
            <w:tcBorders>
              <w:top w:val="single" w:color="auto" w:sz="4" w:space="0"/>
              <w:left w:val="nil"/>
              <w:bottom w:val="single" w:color="auto" w:sz="4" w:space="0"/>
              <w:right w:val="single" w:color="auto" w:sz="4" w:space="0"/>
            </w:tcBorders>
            <w:vAlign w:val="center"/>
          </w:tcPr>
          <w:p w14:paraId="59ABDE27">
            <w:pPr>
              <w:adjustRightInd w:val="0"/>
              <w:snapToGrid w:val="0"/>
              <w:jc w:val="center"/>
              <w:rPr>
                <w:rFonts w:ascii="宋体" w:hAnsi="宋体" w:eastAsia="宋体"/>
                <w:kern w:val="0"/>
                <w:sz w:val="18"/>
                <w:szCs w:val="18"/>
              </w:rPr>
            </w:pPr>
            <w:r>
              <w:rPr>
                <w:rFonts w:hint="eastAsia" w:ascii="宋体" w:hAnsi="宋体" w:eastAsia="宋体"/>
                <w:kern w:val="0"/>
                <w:sz w:val="18"/>
                <w:szCs w:val="18"/>
              </w:rPr>
              <w:t>1032058</w:t>
            </w:r>
          </w:p>
        </w:tc>
        <w:tc>
          <w:tcPr>
            <w:tcW w:w="1859" w:type="dxa"/>
            <w:gridSpan w:val="2"/>
            <w:tcBorders>
              <w:top w:val="single" w:color="auto" w:sz="4" w:space="0"/>
              <w:left w:val="nil"/>
              <w:bottom w:val="single" w:color="auto" w:sz="4" w:space="0"/>
              <w:right w:val="single" w:color="auto" w:sz="4" w:space="0"/>
            </w:tcBorders>
            <w:vAlign w:val="center"/>
          </w:tcPr>
          <w:p w14:paraId="71D90BB7">
            <w:pPr>
              <w:adjustRightInd w:val="0"/>
              <w:snapToGrid w:val="0"/>
              <w:jc w:val="center"/>
              <w:rPr>
                <w:rFonts w:ascii="宋体" w:hAnsi="宋体" w:eastAsia="宋体"/>
                <w:sz w:val="18"/>
                <w:szCs w:val="18"/>
              </w:rPr>
            </w:pPr>
            <w:r>
              <w:rPr>
                <w:rFonts w:hint="eastAsia" w:ascii="宋体" w:hAnsi="宋体" w:eastAsia="宋体"/>
                <w:kern w:val="0"/>
                <w:sz w:val="18"/>
                <w:szCs w:val="18"/>
              </w:rPr>
              <w:t>海洋科学</w:t>
            </w:r>
          </w:p>
        </w:tc>
        <w:tc>
          <w:tcPr>
            <w:tcW w:w="731" w:type="dxa"/>
            <w:tcBorders>
              <w:top w:val="nil"/>
              <w:left w:val="nil"/>
              <w:bottom w:val="single" w:color="auto" w:sz="4" w:space="0"/>
              <w:right w:val="single" w:color="auto" w:sz="4" w:space="0"/>
            </w:tcBorders>
            <w:vAlign w:val="center"/>
          </w:tcPr>
          <w:p w14:paraId="688EA374">
            <w:pPr>
              <w:adjustRightInd w:val="0"/>
              <w:snapToGrid w:val="0"/>
              <w:jc w:val="center"/>
              <w:rPr>
                <w:rFonts w:ascii="宋体" w:hAnsi="宋体" w:eastAsia="宋体"/>
                <w:sz w:val="18"/>
                <w:szCs w:val="18"/>
              </w:rPr>
            </w:pPr>
            <w:r>
              <w:rPr>
                <w:rFonts w:hint="eastAsia" w:ascii="宋体" w:hAnsi="宋体" w:eastAsia="宋体"/>
                <w:sz w:val="18"/>
                <w:szCs w:val="18"/>
              </w:rPr>
              <w:t>18</w:t>
            </w:r>
          </w:p>
        </w:tc>
        <w:tc>
          <w:tcPr>
            <w:tcW w:w="613" w:type="dxa"/>
            <w:tcBorders>
              <w:top w:val="nil"/>
              <w:left w:val="nil"/>
              <w:bottom w:val="single" w:color="auto" w:sz="4" w:space="0"/>
              <w:right w:val="single" w:color="auto" w:sz="4" w:space="0"/>
            </w:tcBorders>
            <w:vAlign w:val="center"/>
          </w:tcPr>
          <w:p w14:paraId="60AF6EC4">
            <w:pPr>
              <w:adjustRightInd w:val="0"/>
              <w:snapToGrid w:val="0"/>
              <w:jc w:val="center"/>
              <w:rPr>
                <w:rFonts w:ascii="宋体" w:hAnsi="宋体" w:eastAsia="宋体"/>
                <w:kern w:val="0"/>
                <w:sz w:val="18"/>
                <w:szCs w:val="18"/>
              </w:rPr>
            </w:pPr>
            <w:r>
              <w:rPr>
                <w:rFonts w:hint="eastAsia" w:ascii="宋体" w:hAnsi="宋体" w:eastAsia="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7D69A0BE">
            <w:pPr>
              <w:adjustRightInd w:val="0"/>
              <w:snapToGrid w:val="0"/>
              <w:jc w:val="center"/>
              <w:rPr>
                <w:rFonts w:ascii="宋体" w:hAnsi="宋体" w:eastAsia="宋体"/>
                <w:kern w:val="0"/>
                <w:sz w:val="18"/>
                <w:szCs w:val="18"/>
              </w:rPr>
            </w:pPr>
          </w:p>
        </w:tc>
        <w:tc>
          <w:tcPr>
            <w:tcW w:w="487" w:type="dxa"/>
            <w:tcBorders>
              <w:top w:val="nil"/>
              <w:left w:val="nil"/>
              <w:bottom w:val="single" w:color="auto" w:sz="4" w:space="0"/>
              <w:right w:val="single" w:color="auto" w:sz="4" w:space="0"/>
            </w:tcBorders>
            <w:vAlign w:val="center"/>
          </w:tcPr>
          <w:p w14:paraId="68D40812">
            <w:pPr>
              <w:adjustRightInd w:val="0"/>
              <w:snapToGrid w:val="0"/>
              <w:jc w:val="center"/>
              <w:rPr>
                <w:rFonts w:ascii="宋体" w:hAnsi="宋体" w:eastAsia="宋体"/>
                <w:kern w:val="0"/>
                <w:sz w:val="18"/>
                <w:szCs w:val="18"/>
              </w:rPr>
            </w:pPr>
          </w:p>
        </w:tc>
        <w:tc>
          <w:tcPr>
            <w:tcW w:w="651" w:type="dxa"/>
            <w:vMerge w:val="continue"/>
            <w:tcBorders>
              <w:left w:val="nil"/>
              <w:bottom w:val="single" w:color="auto" w:sz="4" w:space="0"/>
              <w:right w:val="single" w:color="auto" w:sz="4" w:space="0"/>
            </w:tcBorders>
            <w:vAlign w:val="center"/>
          </w:tcPr>
          <w:p w14:paraId="77937440">
            <w:pPr>
              <w:adjustRightInd w:val="0"/>
              <w:snapToGrid w:val="0"/>
              <w:jc w:val="center"/>
              <w:rPr>
                <w:rFonts w:ascii="宋体" w:hAnsi="宋体" w:eastAsia="宋体"/>
                <w:kern w:val="0"/>
                <w:sz w:val="18"/>
                <w:szCs w:val="18"/>
              </w:rPr>
            </w:pPr>
          </w:p>
        </w:tc>
        <w:tc>
          <w:tcPr>
            <w:tcW w:w="624" w:type="dxa"/>
            <w:vMerge w:val="continue"/>
            <w:tcBorders>
              <w:left w:val="nil"/>
              <w:bottom w:val="single" w:color="auto" w:sz="4" w:space="0"/>
              <w:right w:val="single" w:color="auto" w:sz="4" w:space="0"/>
            </w:tcBorders>
            <w:vAlign w:val="center"/>
          </w:tcPr>
          <w:p w14:paraId="559E0FA5">
            <w:pPr>
              <w:widowControl/>
              <w:jc w:val="center"/>
              <w:rPr>
                <w:rFonts w:ascii="宋体" w:hAnsi="宋体" w:eastAsia="宋体" w:cs="宋体"/>
                <w:kern w:val="0"/>
                <w:sz w:val="18"/>
                <w:szCs w:val="18"/>
              </w:rPr>
            </w:pPr>
          </w:p>
        </w:tc>
        <w:tc>
          <w:tcPr>
            <w:tcW w:w="709" w:type="dxa"/>
            <w:vMerge w:val="continue"/>
            <w:tcBorders>
              <w:left w:val="nil"/>
              <w:bottom w:val="single" w:color="auto" w:sz="4" w:space="0"/>
              <w:right w:val="single" w:color="auto" w:sz="4" w:space="0"/>
            </w:tcBorders>
            <w:vAlign w:val="center"/>
          </w:tcPr>
          <w:p w14:paraId="2F8DBAAB">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ADBCBE6">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3347093">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897479D">
            <w:pPr>
              <w:widowControl/>
              <w:jc w:val="center"/>
              <w:rPr>
                <w:rFonts w:ascii="宋体" w:hAnsi="宋体" w:eastAsia="宋体" w:cs="宋体"/>
                <w:kern w:val="0"/>
                <w:sz w:val="18"/>
                <w:szCs w:val="18"/>
              </w:rPr>
            </w:pPr>
          </w:p>
        </w:tc>
      </w:tr>
      <w:tr w14:paraId="5BAAEB2D">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bottom w:val="single" w:color="auto" w:sz="4" w:space="0"/>
              <w:right w:val="single" w:color="auto" w:sz="4" w:space="0"/>
            </w:tcBorders>
            <w:vAlign w:val="center"/>
          </w:tcPr>
          <w:p w14:paraId="48D2E03D">
            <w:pPr>
              <w:widowControl/>
              <w:jc w:val="left"/>
              <w:rPr>
                <w:rFonts w:ascii="宋体" w:hAnsi="宋体" w:eastAsia="宋体" w:cs="宋体"/>
                <w:kern w:val="0"/>
                <w:sz w:val="18"/>
                <w:szCs w:val="18"/>
              </w:rPr>
            </w:pPr>
          </w:p>
        </w:tc>
        <w:tc>
          <w:tcPr>
            <w:tcW w:w="426" w:type="dxa"/>
            <w:vMerge w:val="continue"/>
            <w:tcBorders>
              <w:left w:val="single" w:color="auto" w:sz="4" w:space="0"/>
              <w:bottom w:val="single" w:color="auto" w:sz="4" w:space="0"/>
              <w:right w:val="single" w:color="auto" w:sz="4" w:space="0"/>
            </w:tcBorders>
            <w:vAlign w:val="center"/>
          </w:tcPr>
          <w:p w14:paraId="1AB7F5CE">
            <w:pPr>
              <w:widowControl/>
              <w:jc w:val="left"/>
              <w:rPr>
                <w:rFonts w:ascii="宋体" w:hAnsi="宋体" w:eastAsia="宋体" w:cs="宋体"/>
                <w:kern w:val="0"/>
                <w:sz w:val="18"/>
                <w:szCs w:val="18"/>
              </w:rPr>
            </w:pPr>
          </w:p>
        </w:tc>
        <w:tc>
          <w:tcPr>
            <w:tcW w:w="2993" w:type="dxa"/>
            <w:gridSpan w:val="3"/>
            <w:tcBorders>
              <w:top w:val="single" w:color="auto" w:sz="4" w:space="0"/>
              <w:left w:val="nil"/>
              <w:bottom w:val="single" w:color="auto" w:sz="4" w:space="0"/>
              <w:right w:val="single" w:color="auto" w:sz="4" w:space="0"/>
            </w:tcBorders>
            <w:vAlign w:val="center"/>
          </w:tcPr>
          <w:p w14:paraId="3B0400D2">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小计（占总课时比例7.89%）</w:t>
            </w:r>
          </w:p>
        </w:tc>
        <w:tc>
          <w:tcPr>
            <w:tcW w:w="731" w:type="dxa"/>
            <w:tcBorders>
              <w:top w:val="nil"/>
              <w:left w:val="nil"/>
              <w:bottom w:val="single" w:color="auto" w:sz="4" w:space="0"/>
              <w:right w:val="single" w:color="auto" w:sz="4" w:space="0"/>
            </w:tcBorders>
            <w:vAlign w:val="center"/>
          </w:tcPr>
          <w:p w14:paraId="2669DCE7">
            <w:pPr>
              <w:widowControl/>
              <w:jc w:val="center"/>
              <w:rPr>
                <w:rFonts w:ascii="宋体" w:hAnsi="宋体" w:eastAsia="宋体" w:cs="宋体"/>
                <w:kern w:val="0"/>
                <w:sz w:val="18"/>
                <w:szCs w:val="18"/>
              </w:rPr>
            </w:pPr>
            <w:r>
              <w:rPr>
                <w:rFonts w:hint="eastAsia" w:ascii="宋体" w:hAnsi="宋体" w:eastAsia="宋体" w:cs="宋体"/>
                <w:kern w:val="0"/>
                <w:sz w:val="18"/>
                <w:szCs w:val="18"/>
              </w:rPr>
              <w:t>288</w:t>
            </w:r>
          </w:p>
        </w:tc>
        <w:tc>
          <w:tcPr>
            <w:tcW w:w="613" w:type="dxa"/>
            <w:tcBorders>
              <w:top w:val="nil"/>
              <w:left w:val="nil"/>
              <w:bottom w:val="single" w:color="auto" w:sz="4" w:space="0"/>
              <w:right w:val="single" w:color="auto" w:sz="4" w:space="0"/>
            </w:tcBorders>
            <w:vAlign w:val="center"/>
          </w:tcPr>
          <w:p w14:paraId="2011154B">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6</w:t>
            </w:r>
          </w:p>
        </w:tc>
        <w:tc>
          <w:tcPr>
            <w:tcW w:w="705" w:type="dxa"/>
            <w:tcBorders>
              <w:top w:val="nil"/>
              <w:left w:val="single" w:color="auto" w:sz="4" w:space="0"/>
              <w:bottom w:val="single" w:color="auto" w:sz="4" w:space="0"/>
              <w:right w:val="single" w:color="auto" w:sz="4" w:space="0"/>
            </w:tcBorders>
            <w:vAlign w:val="center"/>
          </w:tcPr>
          <w:p w14:paraId="1C8FC1EF">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487" w:type="dxa"/>
            <w:tcBorders>
              <w:top w:val="single" w:color="auto" w:sz="4" w:space="0"/>
              <w:left w:val="single" w:color="auto" w:sz="4" w:space="0"/>
              <w:bottom w:val="single" w:color="auto" w:sz="4" w:space="0"/>
              <w:right w:val="single" w:color="auto" w:sz="4" w:space="0"/>
            </w:tcBorders>
            <w:vAlign w:val="center"/>
          </w:tcPr>
          <w:p w14:paraId="16BF9627">
            <w:pPr>
              <w:widowControl/>
              <w:jc w:val="center"/>
              <w:rPr>
                <w:rFonts w:ascii="宋体" w:hAnsi="宋体" w:eastAsia="宋体" w:cs="宋体"/>
                <w:kern w:val="0"/>
                <w:sz w:val="18"/>
                <w:szCs w:val="18"/>
              </w:rPr>
            </w:pPr>
          </w:p>
        </w:tc>
        <w:tc>
          <w:tcPr>
            <w:tcW w:w="651" w:type="dxa"/>
            <w:tcBorders>
              <w:top w:val="single" w:color="auto" w:sz="4" w:space="0"/>
              <w:left w:val="single" w:color="auto" w:sz="4" w:space="0"/>
              <w:bottom w:val="single" w:color="auto" w:sz="4" w:space="0"/>
              <w:right w:val="single" w:color="auto" w:sz="4" w:space="0"/>
            </w:tcBorders>
            <w:vAlign w:val="center"/>
          </w:tcPr>
          <w:p w14:paraId="40832195">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624" w:type="dxa"/>
            <w:tcBorders>
              <w:top w:val="single" w:color="auto" w:sz="4" w:space="0"/>
              <w:left w:val="single" w:color="auto" w:sz="4" w:space="0"/>
              <w:bottom w:val="single" w:color="auto" w:sz="4" w:space="0"/>
              <w:right w:val="single" w:color="auto" w:sz="4" w:space="0"/>
            </w:tcBorders>
            <w:vAlign w:val="center"/>
          </w:tcPr>
          <w:p w14:paraId="1E630B0A">
            <w:pPr>
              <w:widowControl/>
              <w:jc w:val="center"/>
              <w:rPr>
                <w:rFonts w:ascii="宋体" w:hAnsi="宋体" w:eastAsia="宋体" w:cs="宋体"/>
                <w:kern w:val="0"/>
                <w:sz w:val="18"/>
                <w:szCs w:val="18"/>
              </w:rPr>
            </w:pPr>
            <w:r>
              <w:rPr>
                <w:rFonts w:hint="eastAsia" w:ascii="宋体" w:hAnsi="宋体" w:eastAsia="宋体" w:cs="宋体"/>
                <w:kern w:val="0"/>
                <w:sz w:val="18"/>
                <w:szCs w:val="18"/>
              </w:rPr>
              <w:t>90</w:t>
            </w:r>
          </w:p>
        </w:tc>
        <w:tc>
          <w:tcPr>
            <w:tcW w:w="709" w:type="dxa"/>
            <w:tcBorders>
              <w:top w:val="single" w:color="auto" w:sz="4" w:space="0"/>
              <w:left w:val="single" w:color="auto" w:sz="4" w:space="0"/>
              <w:bottom w:val="single" w:color="auto" w:sz="4" w:space="0"/>
              <w:right w:val="single" w:color="auto" w:sz="4" w:space="0"/>
            </w:tcBorders>
            <w:vAlign w:val="center"/>
          </w:tcPr>
          <w:p w14:paraId="5D326FD2">
            <w:pPr>
              <w:widowControl/>
              <w:jc w:val="center"/>
              <w:rPr>
                <w:rFonts w:ascii="宋体" w:hAnsi="宋体" w:eastAsia="宋体" w:cs="宋体"/>
                <w:kern w:val="0"/>
                <w:sz w:val="18"/>
                <w:szCs w:val="18"/>
              </w:rPr>
            </w:pPr>
            <w:r>
              <w:rPr>
                <w:rFonts w:hint="eastAsia" w:ascii="宋体" w:hAnsi="宋体" w:eastAsia="宋体" w:cs="宋体"/>
                <w:kern w:val="0"/>
                <w:sz w:val="18"/>
                <w:szCs w:val="18"/>
              </w:rPr>
              <w:t>108</w:t>
            </w:r>
          </w:p>
        </w:tc>
        <w:tc>
          <w:tcPr>
            <w:tcW w:w="567" w:type="dxa"/>
            <w:tcBorders>
              <w:top w:val="nil"/>
              <w:left w:val="nil"/>
              <w:bottom w:val="single" w:color="auto" w:sz="4" w:space="0"/>
              <w:right w:val="single" w:color="auto" w:sz="4" w:space="0"/>
            </w:tcBorders>
            <w:vAlign w:val="center"/>
          </w:tcPr>
          <w:p w14:paraId="7CF0C56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96910F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EC04299">
            <w:pPr>
              <w:widowControl/>
              <w:jc w:val="center"/>
              <w:rPr>
                <w:rFonts w:ascii="宋体" w:hAnsi="宋体" w:eastAsia="宋体" w:cs="宋体"/>
                <w:kern w:val="0"/>
                <w:sz w:val="18"/>
                <w:szCs w:val="18"/>
              </w:rPr>
            </w:pPr>
          </w:p>
        </w:tc>
      </w:tr>
      <w:tr w14:paraId="28141B7B">
        <w:tblPrEx>
          <w:tblCellMar>
            <w:top w:w="0" w:type="dxa"/>
            <w:left w:w="108" w:type="dxa"/>
            <w:bottom w:w="0" w:type="dxa"/>
            <w:right w:w="108" w:type="dxa"/>
          </w:tblCellMar>
        </w:tblPrEx>
        <w:trPr>
          <w:trHeight w:val="414" w:hRule="atLeast"/>
          <w:jc w:val="center"/>
        </w:trPr>
        <w:tc>
          <w:tcPr>
            <w:tcW w:w="463" w:type="dxa"/>
            <w:vMerge w:val="restart"/>
            <w:tcBorders>
              <w:top w:val="nil"/>
              <w:left w:val="single" w:color="auto" w:sz="4" w:space="0"/>
              <w:right w:val="single" w:color="auto" w:sz="4" w:space="0"/>
            </w:tcBorders>
            <w:vAlign w:val="center"/>
          </w:tcPr>
          <w:p w14:paraId="15460245">
            <w:pPr>
              <w:widowControl/>
              <w:jc w:val="center"/>
              <w:rPr>
                <w:rFonts w:ascii="宋体" w:hAnsi="宋体" w:eastAsia="宋体" w:cs="宋体"/>
                <w:kern w:val="0"/>
                <w:sz w:val="18"/>
                <w:szCs w:val="18"/>
              </w:rPr>
            </w:pPr>
            <w:r>
              <w:rPr>
                <w:rFonts w:hint="eastAsia" w:ascii="宋体" w:hAnsi="宋体" w:eastAsia="宋体" w:cs="宋体"/>
                <w:kern w:val="0"/>
                <w:sz w:val="18"/>
                <w:szCs w:val="18"/>
              </w:rPr>
              <w:t>专业课</w:t>
            </w:r>
          </w:p>
          <w:p w14:paraId="3BD369F0">
            <w:pPr>
              <w:widowControl/>
              <w:jc w:val="center"/>
              <w:rPr>
                <w:rFonts w:ascii="宋体" w:hAnsi="宋体" w:eastAsia="宋体" w:cs="宋体"/>
                <w:kern w:val="0"/>
                <w:sz w:val="18"/>
                <w:szCs w:val="18"/>
              </w:rPr>
            </w:pPr>
            <w:r>
              <w:rPr>
                <w:rFonts w:hint="eastAsia" w:ascii="宋体" w:hAnsi="宋体" w:eastAsia="宋体" w:cs="宋体"/>
                <w:kern w:val="0"/>
                <w:sz w:val="18"/>
                <w:szCs w:val="18"/>
              </w:rPr>
              <w:t>程</w:t>
            </w:r>
          </w:p>
        </w:tc>
        <w:tc>
          <w:tcPr>
            <w:tcW w:w="426" w:type="dxa"/>
            <w:vMerge w:val="restart"/>
            <w:tcBorders>
              <w:top w:val="nil"/>
              <w:left w:val="single" w:color="auto" w:sz="4" w:space="0"/>
              <w:bottom w:val="single" w:color="auto" w:sz="4" w:space="0"/>
              <w:right w:val="single" w:color="auto" w:sz="4" w:space="0"/>
            </w:tcBorders>
            <w:vAlign w:val="center"/>
          </w:tcPr>
          <w:p w14:paraId="6B213BFD">
            <w:pPr>
              <w:widowControl/>
              <w:jc w:val="center"/>
              <w:rPr>
                <w:rFonts w:ascii="宋体" w:hAnsi="宋体" w:eastAsia="宋体" w:cs="宋体"/>
                <w:kern w:val="0"/>
                <w:sz w:val="18"/>
                <w:szCs w:val="18"/>
              </w:rPr>
            </w:pPr>
            <w:r>
              <w:rPr>
                <w:rFonts w:hint="eastAsia" w:ascii="宋体" w:hAnsi="宋体" w:eastAsia="宋体" w:cs="宋体"/>
                <w:kern w:val="0"/>
                <w:sz w:val="18"/>
                <w:szCs w:val="18"/>
              </w:rPr>
              <w:t>专业基础课程</w:t>
            </w:r>
          </w:p>
        </w:tc>
        <w:tc>
          <w:tcPr>
            <w:tcW w:w="1134" w:type="dxa"/>
            <w:tcBorders>
              <w:top w:val="nil"/>
              <w:left w:val="nil"/>
              <w:bottom w:val="single" w:color="auto" w:sz="4" w:space="0"/>
              <w:right w:val="single" w:color="auto" w:sz="4" w:space="0"/>
            </w:tcBorders>
            <w:vAlign w:val="center"/>
          </w:tcPr>
          <w:p w14:paraId="0712C8B7">
            <w:pPr>
              <w:adjustRightInd w:val="0"/>
              <w:snapToGrid w:val="0"/>
              <w:jc w:val="center"/>
              <w:rPr>
                <w:rFonts w:ascii="宋体" w:hAnsi="宋体" w:eastAsia="宋体"/>
                <w:kern w:val="0"/>
                <w:sz w:val="18"/>
                <w:szCs w:val="18"/>
              </w:rPr>
            </w:pPr>
            <w:r>
              <w:rPr>
                <w:rFonts w:hint="eastAsia" w:ascii="宋体" w:hAnsi="宋体" w:eastAsia="宋体"/>
                <w:kern w:val="0"/>
                <w:sz w:val="18"/>
                <w:szCs w:val="18"/>
              </w:rPr>
              <w:t>1711001</w:t>
            </w:r>
          </w:p>
        </w:tc>
        <w:tc>
          <w:tcPr>
            <w:tcW w:w="1859" w:type="dxa"/>
            <w:gridSpan w:val="2"/>
            <w:tcBorders>
              <w:top w:val="nil"/>
              <w:left w:val="nil"/>
              <w:bottom w:val="single" w:color="auto" w:sz="4" w:space="0"/>
              <w:right w:val="single" w:color="auto" w:sz="4" w:space="0"/>
            </w:tcBorders>
            <w:vAlign w:val="center"/>
          </w:tcPr>
          <w:p w14:paraId="13D91C53">
            <w:pPr>
              <w:adjustRightInd w:val="0"/>
              <w:snapToGrid w:val="0"/>
              <w:jc w:val="center"/>
              <w:rPr>
                <w:rFonts w:ascii="宋体" w:hAnsi="宋体" w:eastAsia="宋体"/>
                <w:kern w:val="0"/>
                <w:sz w:val="18"/>
                <w:szCs w:val="18"/>
              </w:rPr>
            </w:pPr>
            <w:r>
              <w:rPr>
                <w:rFonts w:hint="eastAsia" w:ascii="宋体" w:hAnsi="宋体" w:eastAsia="宋体"/>
                <w:kern w:val="0"/>
                <w:sz w:val="18"/>
                <w:szCs w:val="18"/>
              </w:rPr>
              <w:t>会计基础</w:t>
            </w:r>
          </w:p>
        </w:tc>
        <w:tc>
          <w:tcPr>
            <w:tcW w:w="731" w:type="dxa"/>
            <w:tcBorders>
              <w:top w:val="nil"/>
              <w:left w:val="nil"/>
              <w:bottom w:val="single" w:color="auto" w:sz="4" w:space="0"/>
              <w:right w:val="single" w:color="auto" w:sz="4" w:space="0"/>
            </w:tcBorders>
            <w:vAlign w:val="center"/>
          </w:tcPr>
          <w:p w14:paraId="075CEA71">
            <w:pPr>
              <w:adjustRightInd w:val="0"/>
              <w:snapToGrid w:val="0"/>
              <w:jc w:val="center"/>
              <w:rPr>
                <w:rFonts w:ascii="宋体" w:hAnsi="宋体" w:eastAsia="宋体"/>
                <w:kern w:val="0"/>
                <w:sz w:val="18"/>
                <w:szCs w:val="18"/>
              </w:rPr>
            </w:pPr>
            <w:r>
              <w:rPr>
                <w:rFonts w:ascii="宋体" w:hAnsi="宋体" w:eastAsia="宋体"/>
                <w:sz w:val="18"/>
                <w:szCs w:val="18"/>
              </w:rPr>
              <w:t>72</w:t>
            </w:r>
          </w:p>
        </w:tc>
        <w:tc>
          <w:tcPr>
            <w:tcW w:w="613" w:type="dxa"/>
            <w:tcBorders>
              <w:top w:val="nil"/>
              <w:left w:val="nil"/>
              <w:bottom w:val="single" w:color="auto" w:sz="4" w:space="0"/>
              <w:right w:val="single" w:color="auto" w:sz="4" w:space="0"/>
            </w:tcBorders>
            <w:vAlign w:val="center"/>
          </w:tcPr>
          <w:p w14:paraId="0416BF33">
            <w:pPr>
              <w:adjustRightInd w:val="0"/>
              <w:snapToGrid w:val="0"/>
              <w:jc w:val="center"/>
              <w:rPr>
                <w:rFonts w:ascii="宋体" w:hAnsi="宋体" w:eastAsia="宋体"/>
                <w:kern w:val="0"/>
                <w:sz w:val="18"/>
                <w:szCs w:val="18"/>
              </w:rPr>
            </w:pPr>
            <w:r>
              <w:rPr>
                <w:rFonts w:hint="eastAsia" w:ascii="宋体" w:hAnsi="宋体" w:eastAsia="宋体"/>
                <w:kern w:val="0"/>
                <w:sz w:val="18"/>
                <w:szCs w:val="18"/>
              </w:rPr>
              <w:t>4</w:t>
            </w:r>
          </w:p>
        </w:tc>
        <w:tc>
          <w:tcPr>
            <w:tcW w:w="705" w:type="dxa"/>
            <w:tcBorders>
              <w:top w:val="nil"/>
              <w:left w:val="single" w:color="auto" w:sz="4" w:space="0"/>
              <w:bottom w:val="single" w:color="auto" w:sz="4" w:space="0"/>
              <w:right w:val="single" w:color="auto" w:sz="4" w:space="0"/>
            </w:tcBorders>
            <w:vAlign w:val="center"/>
          </w:tcPr>
          <w:p w14:paraId="75CBE5ED">
            <w:pPr>
              <w:widowControl/>
              <w:jc w:val="center"/>
              <w:rPr>
                <w:rFonts w:ascii="宋体" w:hAnsi="宋体" w:eastAsia="宋体" w:cs="宋体"/>
                <w:kern w:val="0"/>
                <w:sz w:val="18"/>
                <w:szCs w:val="18"/>
              </w:rPr>
            </w:pPr>
          </w:p>
        </w:tc>
        <w:tc>
          <w:tcPr>
            <w:tcW w:w="487" w:type="dxa"/>
            <w:tcBorders>
              <w:top w:val="single" w:color="auto" w:sz="4" w:space="0"/>
              <w:left w:val="nil"/>
              <w:bottom w:val="single" w:color="auto" w:sz="4" w:space="0"/>
              <w:right w:val="single" w:color="auto" w:sz="4" w:space="0"/>
            </w:tcBorders>
            <w:vAlign w:val="center"/>
          </w:tcPr>
          <w:p w14:paraId="5302FD19">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651" w:type="dxa"/>
            <w:tcBorders>
              <w:top w:val="single" w:color="auto" w:sz="4" w:space="0"/>
              <w:left w:val="nil"/>
              <w:bottom w:val="single" w:color="auto" w:sz="4" w:space="0"/>
              <w:right w:val="single" w:color="auto" w:sz="4" w:space="0"/>
            </w:tcBorders>
            <w:vAlign w:val="center"/>
          </w:tcPr>
          <w:p w14:paraId="176B87E2">
            <w:pPr>
              <w:widowControl/>
              <w:jc w:val="center"/>
              <w:rPr>
                <w:rFonts w:ascii="宋体" w:hAnsi="宋体" w:eastAsia="宋体" w:cs="宋体"/>
                <w:kern w:val="0"/>
                <w:sz w:val="18"/>
                <w:szCs w:val="18"/>
              </w:rPr>
            </w:pPr>
          </w:p>
        </w:tc>
        <w:tc>
          <w:tcPr>
            <w:tcW w:w="624" w:type="dxa"/>
            <w:tcBorders>
              <w:top w:val="single" w:color="auto" w:sz="4" w:space="0"/>
              <w:left w:val="nil"/>
              <w:bottom w:val="single" w:color="auto" w:sz="4" w:space="0"/>
              <w:right w:val="single" w:color="auto" w:sz="4" w:space="0"/>
            </w:tcBorders>
            <w:vAlign w:val="center"/>
          </w:tcPr>
          <w:p w14:paraId="2AA18A2A">
            <w:pPr>
              <w:widowControl/>
              <w:jc w:val="center"/>
              <w:rPr>
                <w:rFonts w:ascii="宋体" w:hAnsi="宋体" w:eastAsia="宋体" w:cs="宋体"/>
                <w:kern w:val="0"/>
                <w:sz w:val="18"/>
                <w:szCs w:val="18"/>
              </w:rPr>
            </w:pPr>
          </w:p>
        </w:tc>
        <w:tc>
          <w:tcPr>
            <w:tcW w:w="709" w:type="dxa"/>
            <w:tcBorders>
              <w:top w:val="single" w:color="auto" w:sz="4" w:space="0"/>
              <w:left w:val="nil"/>
              <w:bottom w:val="single" w:color="auto" w:sz="4" w:space="0"/>
              <w:right w:val="single" w:color="auto" w:sz="4" w:space="0"/>
            </w:tcBorders>
            <w:vAlign w:val="center"/>
          </w:tcPr>
          <w:p w14:paraId="4EC19439">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4A4AEE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C38F3D1">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95D4B21">
            <w:pPr>
              <w:widowControl/>
              <w:jc w:val="center"/>
              <w:rPr>
                <w:rFonts w:ascii="宋体" w:hAnsi="宋体" w:eastAsia="宋体" w:cs="宋体"/>
                <w:kern w:val="0"/>
                <w:sz w:val="18"/>
                <w:szCs w:val="18"/>
              </w:rPr>
            </w:pPr>
          </w:p>
        </w:tc>
      </w:tr>
      <w:tr w14:paraId="3F23A46F">
        <w:tblPrEx>
          <w:tblCellMar>
            <w:top w:w="0" w:type="dxa"/>
            <w:left w:w="108" w:type="dxa"/>
            <w:bottom w:w="0" w:type="dxa"/>
            <w:right w:w="108" w:type="dxa"/>
          </w:tblCellMar>
        </w:tblPrEx>
        <w:trPr>
          <w:trHeight w:val="430" w:hRule="atLeast"/>
          <w:jc w:val="center"/>
        </w:trPr>
        <w:tc>
          <w:tcPr>
            <w:tcW w:w="463" w:type="dxa"/>
            <w:vMerge w:val="continue"/>
            <w:tcBorders>
              <w:left w:val="single" w:color="auto" w:sz="4" w:space="0"/>
              <w:right w:val="single" w:color="auto" w:sz="4" w:space="0"/>
            </w:tcBorders>
            <w:vAlign w:val="center"/>
          </w:tcPr>
          <w:p w14:paraId="3865C4F9">
            <w:pPr>
              <w:jc w:val="center"/>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476B575C">
            <w:pPr>
              <w:widowControl/>
              <w:jc w:val="left"/>
              <w:rPr>
                <w:rFonts w:ascii="宋体" w:hAnsi="宋体" w:eastAsia="宋体" w:cs="宋体"/>
                <w:kern w:val="0"/>
                <w:sz w:val="18"/>
                <w:szCs w:val="18"/>
              </w:rPr>
            </w:pPr>
          </w:p>
        </w:tc>
        <w:tc>
          <w:tcPr>
            <w:tcW w:w="1134" w:type="dxa"/>
            <w:tcBorders>
              <w:top w:val="nil"/>
              <w:left w:val="nil"/>
              <w:bottom w:val="single" w:color="auto" w:sz="4" w:space="0"/>
              <w:right w:val="single" w:color="auto" w:sz="4" w:space="0"/>
            </w:tcBorders>
            <w:vAlign w:val="center"/>
          </w:tcPr>
          <w:p w14:paraId="342DD58F">
            <w:pPr>
              <w:adjustRightInd w:val="0"/>
              <w:snapToGrid w:val="0"/>
              <w:jc w:val="center"/>
              <w:rPr>
                <w:rFonts w:ascii="宋体" w:hAnsi="宋体" w:eastAsia="宋体"/>
                <w:kern w:val="0"/>
                <w:sz w:val="18"/>
                <w:szCs w:val="18"/>
              </w:rPr>
            </w:pPr>
            <w:r>
              <w:rPr>
                <w:rFonts w:hint="eastAsia" w:ascii="宋体" w:hAnsi="宋体" w:eastAsia="宋体"/>
                <w:kern w:val="0"/>
                <w:sz w:val="18"/>
                <w:szCs w:val="18"/>
              </w:rPr>
              <w:t>1711002</w:t>
            </w:r>
          </w:p>
        </w:tc>
        <w:tc>
          <w:tcPr>
            <w:tcW w:w="1859" w:type="dxa"/>
            <w:gridSpan w:val="2"/>
            <w:tcBorders>
              <w:top w:val="nil"/>
              <w:left w:val="nil"/>
              <w:bottom w:val="single" w:color="auto" w:sz="4" w:space="0"/>
              <w:right w:val="single" w:color="auto" w:sz="4" w:space="0"/>
            </w:tcBorders>
            <w:vAlign w:val="center"/>
          </w:tcPr>
          <w:p w14:paraId="5E3E368C">
            <w:pPr>
              <w:adjustRightInd w:val="0"/>
              <w:snapToGrid w:val="0"/>
              <w:jc w:val="center"/>
              <w:rPr>
                <w:rFonts w:ascii="宋体" w:hAnsi="宋体" w:eastAsia="宋体"/>
                <w:kern w:val="0"/>
                <w:sz w:val="18"/>
                <w:szCs w:val="18"/>
              </w:rPr>
            </w:pPr>
            <w:r>
              <w:rPr>
                <w:rFonts w:hint="eastAsia" w:ascii="宋体" w:hAnsi="宋体" w:eastAsia="宋体"/>
                <w:kern w:val="0"/>
                <w:sz w:val="18"/>
                <w:szCs w:val="18"/>
              </w:rPr>
              <w:t>金融基础</w:t>
            </w:r>
          </w:p>
        </w:tc>
        <w:tc>
          <w:tcPr>
            <w:tcW w:w="731" w:type="dxa"/>
            <w:tcBorders>
              <w:top w:val="nil"/>
              <w:left w:val="nil"/>
              <w:bottom w:val="single" w:color="auto" w:sz="4" w:space="0"/>
              <w:right w:val="single" w:color="auto" w:sz="4" w:space="0"/>
            </w:tcBorders>
            <w:vAlign w:val="center"/>
          </w:tcPr>
          <w:p w14:paraId="5499ADE8">
            <w:pPr>
              <w:adjustRightInd w:val="0"/>
              <w:snapToGrid w:val="0"/>
              <w:jc w:val="center"/>
              <w:rPr>
                <w:rFonts w:ascii="宋体" w:hAnsi="宋体" w:eastAsia="宋体"/>
                <w:kern w:val="0"/>
                <w:sz w:val="18"/>
                <w:szCs w:val="18"/>
              </w:rPr>
            </w:pPr>
            <w:r>
              <w:rPr>
                <w:rFonts w:hint="eastAsia"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06DD4A8E">
            <w:pPr>
              <w:adjustRightInd w:val="0"/>
              <w:snapToGrid w:val="0"/>
              <w:jc w:val="center"/>
              <w:rPr>
                <w:rFonts w:ascii="宋体" w:hAnsi="宋体" w:eastAsia="宋体"/>
                <w:kern w:val="0"/>
                <w:sz w:val="18"/>
                <w:szCs w:val="18"/>
              </w:rPr>
            </w:pPr>
            <w:r>
              <w:rPr>
                <w:rFonts w:hint="eastAsia" w:ascii="宋体" w:hAnsi="宋体" w:eastAsia="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40494836">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6DD69475">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1F1FADE3">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tcBorders>
              <w:top w:val="nil"/>
              <w:left w:val="nil"/>
              <w:bottom w:val="single" w:color="auto" w:sz="4" w:space="0"/>
              <w:right w:val="single" w:color="auto" w:sz="4" w:space="0"/>
            </w:tcBorders>
            <w:vAlign w:val="center"/>
          </w:tcPr>
          <w:p w14:paraId="347C7BF3">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78D0E8B5">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AEB4D09">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BA3B5F5">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34D9D23">
            <w:pPr>
              <w:widowControl/>
              <w:jc w:val="center"/>
              <w:rPr>
                <w:rFonts w:ascii="宋体" w:hAnsi="宋体" w:eastAsia="宋体" w:cs="宋体"/>
                <w:kern w:val="0"/>
                <w:sz w:val="18"/>
                <w:szCs w:val="18"/>
              </w:rPr>
            </w:pPr>
          </w:p>
        </w:tc>
      </w:tr>
      <w:tr w14:paraId="50F94A26">
        <w:tblPrEx>
          <w:tblCellMar>
            <w:top w:w="0" w:type="dxa"/>
            <w:left w:w="108" w:type="dxa"/>
            <w:bottom w:w="0" w:type="dxa"/>
            <w:right w:w="108" w:type="dxa"/>
          </w:tblCellMar>
        </w:tblPrEx>
        <w:trPr>
          <w:trHeight w:val="539" w:hRule="atLeast"/>
          <w:jc w:val="center"/>
        </w:trPr>
        <w:tc>
          <w:tcPr>
            <w:tcW w:w="463" w:type="dxa"/>
            <w:vMerge w:val="continue"/>
            <w:tcBorders>
              <w:left w:val="single" w:color="auto" w:sz="4" w:space="0"/>
              <w:right w:val="single" w:color="auto" w:sz="4" w:space="0"/>
            </w:tcBorders>
            <w:vAlign w:val="center"/>
          </w:tcPr>
          <w:p w14:paraId="535B679E">
            <w:pPr>
              <w:jc w:val="center"/>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466B030C">
            <w:pPr>
              <w:widowControl/>
              <w:jc w:val="left"/>
              <w:rPr>
                <w:rFonts w:ascii="宋体" w:hAnsi="宋体" w:eastAsia="宋体" w:cs="宋体"/>
                <w:kern w:val="0"/>
                <w:sz w:val="18"/>
                <w:szCs w:val="18"/>
              </w:rPr>
            </w:pPr>
          </w:p>
        </w:tc>
        <w:tc>
          <w:tcPr>
            <w:tcW w:w="1134" w:type="dxa"/>
            <w:tcBorders>
              <w:top w:val="nil"/>
              <w:left w:val="nil"/>
              <w:bottom w:val="single" w:color="auto" w:sz="4" w:space="0"/>
              <w:right w:val="single" w:color="auto" w:sz="4" w:space="0"/>
            </w:tcBorders>
            <w:vAlign w:val="center"/>
          </w:tcPr>
          <w:p w14:paraId="53F74D8C">
            <w:pPr>
              <w:adjustRightInd w:val="0"/>
              <w:snapToGrid w:val="0"/>
              <w:jc w:val="center"/>
              <w:rPr>
                <w:rFonts w:ascii="宋体" w:hAnsi="宋体" w:eastAsia="宋体"/>
                <w:kern w:val="0"/>
                <w:sz w:val="18"/>
                <w:szCs w:val="18"/>
              </w:rPr>
            </w:pPr>
            <w:r>
              <w:rPr>
                <w:rFonts w:hint="eastAsia" w:ascii="宋体" w:hAnsi="宋体" w:eastAsia="宋体"/>
                <w:kern w:val="0"/>
                <w:sz w:val="18"/>
                <w:szCs w:val="18"/>
              </w:rPr>
              <w:t>1711003</w:t>
            </w:r>
          </w:p>
        </w:tc>
        <w:tc>
          <w:tcPr>
            <w:tcW w:w="1859" w:type="dxa"/>
            <w:gridSpan w:val="2"/>
            <w:tcBorders>
              <w:top w:val="nil"/>
              <w:left w:val="nil"/>
              <w:bottom w:val="nil"/>
              <w:right w:val="single" w:color="auto" w:sz="4" w:space="0"/>
            </w:tcBorders>
            <w:vAlign w:val="center"/>
          </w:tcPr>
          <w:p w14:paraId="6A6B8D14">
            <w:pPr>
              <w:adjustRightInd w:val="0"/>
              <w:snapToGrid w:val="0"/>
              <w:jc w:val="center"/>
              <w:rPr>
                <w:rFonts w:ascii="宋体" w:hAnsi="宋体" w:eastAsia="宋体"/>
                <w:kern w:val="0"/>
                <w:sz w:val="18"/>
                <w:szCs w:val="18"/>
              </w:rPr>
            </w:pPr>
            <w:r>
              <w:rPr>
                <w:rFonts w:hint="eastAsia" w:ascii="宋体" w:hAnsi="宋体" w:eastAsia="宋体"/>
                <w:kern w:val="0"/>
                <w:sz w:val="18"/>
                <w:szCs w:val="18"/>
              </w:rPr>
              <w:t>经济法基础</w:t>
            </w:r>
          </w:p>
        </w:tc>
        <w:tc>
          <w:tcPr>
            <w:tcW w:w="731" w:type="dxa"/>
            <w:tcBorders>
              <w:top w:val="nil"/>
              <w:left w:val="nil"/>
              <w:bottom w:val="single" w:color="auto" w:sz="4" w:space="0"/>
              <w:right w:val="single" w:color="auto" w:sz="4" w:space="0"/>
            </w:tcBorders>
            <w:vAlign w:val="center"/>
          </w:tcPr>
          <w:p w14:paraId="0D27C092">
            <w:pPr>
              <w:adjustRightInd w:val="0"/>
              <w:snapToGrid w:val="0"/>
              <w:jc w:val="center"/>
              <w:rPr>
                <w:rFonts w:ascii="宋体" w:hAnsi="宋体" w:eastAsia="宋体"/>
                <w:kern w:val="0"/>
                <w:sz w:val="18"/>
                <w:szCs w:val="18"/>
              </w:rPr>
            </w:pPr>
            <w:r>
              <w:rPr>
                <w:rFonts w:ascii="宋体" w:hAnsi="宋体" w:eastAsia="宋体"/>
                <w:sz w:val="18"/>
                <w:szCs w:val="18"/>
              </w:rPr>
              <w:t>72</w:t>
            </w:r>
          </w:p>
        </w:tc>
        <w:tc>
          <w:tcPr>
            <w:tcW w:w="613" w:type="dxa"/>
            <w:tcBorders>
              <w:top w:val="nil"/>
              <w:left w:val="nil"/>
              <w:bottom w:val="single" w:color="auto" w:sz="4" w:space="0"/>
              <w:right w:val="single" w:color="auto" w:sz="4" w:space="0"/>
            </w:tcBorders>
            <w:vAlign w:val="center"/>
          </w:tcPr>
          <w:p w14:paraId="69B851CF">
            <w:pPr>
              <w:adjustRightInd w:val="0"/>
              <w:snapToGrid w:val="0"/>
              <w:jc w:val="center"/>
              <w:rPr>
                <w:rFonts w:ascii="宋体" w:hAnsi="宋体" w:eastAsia="宋体"/>
                <w:kern w:val="0"/>
                <w:sz w:val="18"/>
                <w:szCs w:val="18"/>
              </w:rPr>
            </w:pPr>
            <w:r>
              <w:rPr>
                <w:rFonts w:hint="eastAsia" w:ascii="宋体" w:hAnsi="宋体" w:eastAsia="宋体"/>
                <w:kern w:val="0"/>
                <w:sz w:val="18"/>
                <w:szCs w:val="18"/>
              </w:rPr>
              <w:t>4</w:t>
            </w:r>
          </w:p>
        </w:tc>
        <w:tc>
          <w:tcPr>
            <w:tcW w:w="705" w:type="dxa"/>
            <w:tcBorders>
              <w:top w:val="nil"/>
              <w:left w:val="single" w:color="auto" w:sz="4" w:space="0"/>
              <w:bottom w:val="single" w:color="auto" w:sz="4" w:space="0"/>
              <w:right w:val="single" w:color="auto" w:sz="4" w:space="0"/>
            </w:tcBorders>
            <w:vAlign w:val="center"/>
          </w:tcPr>
          <w:p w14:paraId="256CA671">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2E7446BA">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661DC0F5">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7018187B">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709" w:type="dxa"/>
            <w:tcBorders>
              <w:top w:val="nil"/>
              <w:left w:val="nil"/>
              <w:bottom w:val="single" w:color="auto" w:sz="4" w:space="0"/>
              <w:right w:val="single" w:color="auto" w:sz="4" w:space="0"/>
            </w:tcBorders>
            <w:vAlign w:val="center"/>
          </w:tcPr>
          <w:p w14:paraId="1BC4798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6B851E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C03874D">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CFD9403">
            <w:pPr>
              <w:widowControl/>
              <w:jc w:val="center"/>
              <w:rPr>
                <w:rFonts w:ascii="宋体" w:hAnsi="宋体" w:eastAsia="宋体" w:cs="宋体"/>
                <w:kern w:val="0"/>
                <w:sz w:val="18"/>
                <w:szCs w:val="18"/>
              </w:rPr>
            </w:pPr>
          </w:p>
        </w:tc>
      </w:tr>
      <w:tr w14:paraId="1B75505B">
        <w:tblPrEx>
          <w:tblCellMar>
            <w:top w:w="0" w:type="dxa"/>
            <w:left w:w="108" w:type="dxa"/>
            <w:bottom w:w="0" w:type="dxa"/>
            <w:right w:w="108" w:type="dxa"/>
          </w:tblCellMar>
        </w:tblPrEx>
        <w:trPr>
          <w:trHeight w:val="394" w:hRule="atLeast"/>
          <w:jc w:val="center"/>
        </w:trPr>
        <w:tc>
          <w:tcPr>
            <w:tcW w:w="463" w:type="dxa"/>
            <w:vMerge w:val="continue"/>
            <w:tcBorders>
              <w:left w:val="single" w:color="auto" w:sz="4" w:space="0"/>
              <w:right w:val="single" w:color="auto" w:sz="4" w:space="0"/>
            </w:tcBorders>
            <w:vAlign w:val="center"/>
          </w:tcPr>
          <w:p w14:paraId="7F604BC1">
            <w:pPr>
              <w:jc w:val="center"/>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14:paraId="3321B615">
            <w:pPr>
              <w:widowControl/>
              <w:jc w:val="left"/>
              <w:rPr>
                <w:rFonts w:ascii="宋体" w:hAnsi="宋体" w:eastAsia="宋体" w:cs="宋体"/>
                <w:kern w:val="0"/>
                <w:sz w:val="18"/>
                <w:szCs w:val="18"/>
              </w:rPr>
            </w:pPr>
          </w:p>
        </w:tc>
        <w:tc>
          <w:tcPr>
            <w:tcW w:w="2993" w:type="dxa"/>
            <w:gridSpan w:val="3"/>
            <w:tcBorders>
              <w:top w:val="single" w:color="auto" w:sz="4" w:space="0"/>
              <w:left w:val="nil"/>
              <w:bottom w:val="single" w:color="auto" w:sz="4" w:space="0"/>
              <w:right w:val="single" w:color="auto" w:sz="4" w:space="0"/>
            </w:tcBorders>
            <w:vAlign w:val="center"/>
          </w:tcPr>
          <w:p w14:paraId="76CBD751">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小计（占总课时比例6.76%）</w:t>
            </w:r>
          </w:p>
        </w:tc>
        <w:tc>
          <w:tcPr>
            <w:tcW w:w="731" w:type="dxa"/>
            <w:tcBorders>
              <w:top w:val="nil"/>
              <w:left w:val="nil"/>
              <w:bottom w:val="single" w:color="auto" w:sz="4" w:space="0"/>
              <w:right w:val="single" w:color="auto" w:sz="4" w:space="0"/>
            </w:tcBorders>
            <w:vAlign w:val="center"/>
          </w:tcPr>
          <w:p w14:paraId="0169A962">
            <w:pPr>
              <w:widowControl/>
              <w:jc w:val="center"/>
              <w:rPr>
                <w:rFonts w:ascii="宋体" w:hAnsi="宋体" w:eastAsia="宋体" w:cs="宋体"/>
                <w:kern w:val="0"/>
                <w:sz w:val="18"/>
                <w:szCs w:val="18"/>
              </w:rPr>
            </w:pPr>
            <w:r>
              <w:rPr>
                <w:rFonts w:hint="eastAsia" w:ascii="宋体" w:hAnsi="宋体" w:eastAsia="宋体" w:cs="宋体"/>
                <w:kern w:val="0"/>
                <w:sz w:val="18"/>
                <w:szCs w:val="18"/>
              </w:rPr>
              <w:t>180</w:t>
            </w:r>
          </w:p>
        </w:tc>
        <w:tc>
          <w:tcPr>
            <w:tcW w:w="613" w:type="dxa"/>
            <w:tcBorders>
              <w:top w:val="nil"/>
              <w:left w:val="nil"/>
              <w:bottom w:val="single" w:color="auto" w:sz="4" w:space="0"/>
              <w:right w:val="single" w:color="auto" w:sz="4" w:space="0"/>
            </w:tcBorders>
            <w:vAlign w:val="center"/>
          </w:tcPr>
          <w:p w14:paraId="373AB814">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705" w:type="dxa"/>
            <w:tcBorders>
              <w:top w:val="nil"/>
              <w:left w:val="single" w:color="auto" w:sz="4" w:space="0"/>
              <w:bottom w:val="single" w:color="auto" w:sz="4" w:space="0"/>
              <w:right w:val="single" w:color="auto" w:sz="4" w:space="0"/>
            </w:tcBorders>
            <w:vAlign w:val="center"/>
          </w:tcPr>
          <w:p w14:paraId="66629684">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5BFB340A">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651" w:type="dxa"/>
            <w:tcBorders>
              <w:top w:val="nil"/>
              <w:left w:val="nil"/>
              <w:bottom w:val="single" w:color="auto" w:sz="4" w:space="0"/>
              <w:right w:val="single" w:color="auto" w:sz="4" w:space="0"/>
            </w:tcBorders>
            <w:vAlign w:val="center"/>
          </w:tcPr>
          <w:p w14:paraId="44B98AF8">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24" w:type="dxa"/>
            <w:tcBorders>
              <w:top w:val="nil"/>
              <w:left w:val="nil"/>
              <w:bottom w:val="single" w:color="auto" w:sz="4" w:space="0"/>
              <w:right w:val="single" w:color="auto" w:sz="4" w:space="0"/>
            </w:tcBorders>
            <w:vAlign w:val="center"/>
          </w:tcPr>
          <w:p w14:paraId="0CE150CC">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709" w:type="dxa"/>
            <w:tcBorders>
              <w:top w:val="nil"/>
              <w:left w:val="nil"/>
              <w:bottom w:val="single" w:color="auto" w:sz="4" w:space="0"/>
              <w:right w:val="single" w:color="auto" w:sz="4" w:space="0"/>
            </w:tcBorders>
            <w:vAlign w:val="center"/>
          </w:tcPr>
          <w:p w14:paraId="1F709A9C">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FE7BB1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780E629">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E11DA49">
            <w:pPr>
              <w:widowControl/>
              <w:jc w:val="center"/>
              <w:rPr>
                <w:rFonts w:ascii="宋体" w:hAnsi="宋体" w:eastAsia="宋体" w:cs="宋体"/>
                <w:kern w:val="0"/>
                <w:sz w:val="18"/>
                <w:szCs w:val="18"/>
              </w:rPr>
            </w:pPr>
          </w:p>
        </w:tc>
      </w:tr>
      <w:tr w14:paraId="24716EA6">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85DE539">
            <w:pPr>
              <w:jc w:val="center"/>
              <w:rPr>
                <w:rFonts w:ascii="宋体" w:hAnsi="宋体" w:eastAsia="宋体" w:cs="宋体"/>
                <w:kern w:val="0"/>
                <w:sz w:val="18"/>
                <w:szCs w:val="18"/>
              </w:rPr>
            </w:pPr>
          </w:p>
        </w:tc>
        <w:tc>
          <w:tcPr>
            <w:tcW w:w="426" w:type="dxa"/>
            <w:vMerge w:val="restart"/>
            <w:tcBorders>
              <w:top w:val="nil"/>
              <w:left w:val="single" w:color="auto" w:sz="4" w:space="0"/>
              <w:right w:val="single" w:color="auto" w:sz="4" w:space="0"/>
            </w:tcBorders>
            <w:vAlign w:val="center"/>
          </w:tcPr>
          <w:p w14:paraId="5208F7CA">
            <w:pPr>
              <w:widowControl/>
              <w:jc w:val="center"/>
              <w:rPr>
                <w:rFonts w:ascii="宋体" w:hAnsi="宋体" w:eastAsia="宋体" w:cs="宋体"/>
                <w:kern w:val="0"/>
                <w:sz w:val="18"/>
                <w:szCs w:val="18"/>
              </w:rPr>
            </w:pPr>
            <w:r>
              <w:rPr>
                <w:rFonts w:hint="eastAsia" w:ascii="宋体" w:hAnsi="宋体" w:eastAsia="宋体" w:cs="宋体"/>
                <w:kern w:val="0"/>
                <w:sz w:val="18"/>
                <w:szCs w:val="18"/>
              </w:rPr>
              <w:t>专业核心课程</w:t>
            </w:r>
          </w:p>
        </w:tc>
        <w:tc>
          <w:tcPr>
            <w:tcW w:w="1134" w:type="dxa"/>
            <w:tcBorders>
              <w:top w:val="nil"/>
              <w:left w:val="single" w:color="auto" w:sz="4" w:space="0"/>
              <w:bottom w:val="single" w:color="auto" w:sz="4" w:space="0"/>
              <w:right w:val="single" w:color="auto" w:sz="4" w:space="0"/>
            </w:tcBorders>
            <w:vAlign w:val="center"/>
          </w:tcPr>
          <w:p w14:paraId="2FFC208E">
            <w:pPr>
              <w:adjustRightInd w:val="0"/>
              <w:snapToGrid w:val="0"/>
              <w:jc w:val="center"/>
              <w:rPr>
                <w:rFonts w:ascii="宋体" w:hAnsi="宋体" w:eastAsia="宋体"/>
                <w:sz w:val="18"/>
                <w:szCs w:val="18"/>
              </w:rPr>
            </w:pPr>
            <w:r>
              <w:rPr>
                <w:rFonts w:hint="eastAsia" w:ascii="宋体" w:hAnsi="宋体" w:eastAsia="宋体"/>
                <w:sz w:val="18"/>
                <w:szCs w:val="18"/>
              </w:rPr>
              <w:t>1711003</w:t>
            </w:r>
          </w:p>
        </w:tc>
        <w:tc>
          <w:tcPr>
            <w:tcW w:w="1859" w:type="dxa"/>
            <w:gridSpan w:val="2"/>
            <w:tcBorders>
              <w:top w:val="nil"/>
              <w:left w:val="nil"/>
              <w:bottom w:val="single" w:color="auto" w:sz="4" w:space="0"/>
              <w:right w:val="single" w:color="auto" w:sz="4" w:space="0"/>
            </w:tcBorders>
            <w:vAlign w:val="center"/>
          </w:tcPr>
          <w:p w14:paraId="056E6D30">
            <w:pPr>
              <w:adjustRightInd w:val="0"/>
              <w:snapToGrid w:val="0"/>
              <w:jc w:val="center"/>
              <w:rPr>
                <w:rFonts w:ascii="宋体" w:hAnsi="宋体" w:eastAsia="宋体"/>
                <w:sz w:val="18"/>
                <w:szCs w:val="18"/>
              </w:rPr>
            </w:pPr>
            <w:r>
              <w:rPr>
                <w:rFonts w:hint="eastAsia" w:ascii="宋体" w:hAnsi="宋体" w:eastAsia="宋体"/>
                <w:sz w:val="18"/>
                <w:szCs w:val="18"/>
              </w:rPr>
              <w:t>企业财务会计</w:t>
            </w:r>
          </w:p>
        </w:tc>
        <w:tc>
          <w:tcPr>
            <w:tcW w:w="731" w:type="dxa"/>
            <w:tcBorders>
              <w:top w:val="nil"/>
              <w:left w:val="nil"/>
              <w:bottom w:val="single" w:color="auto" w:sz="4" w:space="0"/>
              <w:right w:val="single" w:color="auto" w:sz="4" w:space="0"/>
            </w:tcBorders>
            <w:vAlign w:val="center"/>
          </w:tcPr>
          <w:p w14:paraId="702EE741">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126</w:t>
            </w:r>
          </w:p>
        </w:tc>
        <w:tc>
          <w:tcPr>
            <w:tcW w:w="613" w:type="dxa"/>
            <w:tcBorders>
              <w:top w:val="nil"/>
              <w:left w:val="nil"/>
              <w:bottom w:val="single" w:color="auto" w:sz="4" w:space="0"/>
              <w:right w:val="single" w:color="auto" w:sz="4" w:space="0"/>
            </w:tcBorders>
            <w:vAlign w:val="center"/>
          </w:tcPr>
          <w:p w14:paraId="36EC6CF7">
            <w:pPr>
              <w:adjustRightInd w:val="0"/>
              <w:snapToGrid w:val="0"/>
              <w:jc w:val="center"/>
              <w:rPr>
                <w:rFonts w:ascii="宋体" w:hAnsi="宋体" w:eastAsia="宋体"/>
                <w:sz w:val="18"/>
                <w:szCs w:val="18"/>
              </w:rPr>
            </w:pPr>
            <w:r>
              <w:rPr>
                <w:rFonts w:hint="eastAsia" w:ascii="宋体" w:hAnsi="宋体" w:eastAsia="宋体"/>
                <w:sz w:val="18"/>
                <w:szCs w:val="18"/>
              </w:rPr>
              <w:t>7</w:t>
            </w:r>
          </w:p>
        </w:tc>
        <w:tc>
          <w:tcPr>
            <w:tcW w:w="705" w:type="dxa"/>
            <w:tcBorders>
              <w:top w:val="nil"/>
              <w:left w:val="single" w:color="auto" w:sz="4" w:space="0"/>
              <w:bottom w:val="single" w:color="auto" w:sz="4" w:space="0"/>
              <w:right w:val="single" w:color="auto" w:sz="4" w:space="0"/>
            </w:tcBorders>
            <w:vAlign w:val="center"/>
          </w:tcPr>
          <w:p w14:paraId="2B653B37">
            <w:pPr>
              <w:adjustRightInd w:val="0"/>
              <w:snapToGrid w:val="0"/>
              <w:jc w:val="center"/>
              <w:rPr>
                <w:rFonts w:ascii="宋体" w:hAnsi="宋体" w:eastAsia="宋体"/>
                <w:sz w:val="18"/>
                <w:szCs w:val="18"/>
              </w:rPr>
            </w:pPr>
            <w:r>
              <w:rPr>
                <w:rFonts w:hint="eastAsia" w:ascii="宋体" w:hAnsi="宋体" w:eastAsia="宋体"/>
                <w:sz w:val="18"/>
                <w:szCs w:val="18"/>
              </w:rPr>
              <w:t>72</w:t>
            </w:r>
          </w:p>
        </w:tc>
        <w:tc>
          <w:tcPr>
            <w:tcW w:w="487" w:type="dxa"/>
            <w:tcBorders>
              <w:top w:val="nil"/>
              <w:left w:val="nil"/>
              <w:bottom w:val="single" w:color="auto" w:sz="4" w:space="0"/>
              <w:right w:val="single" w:color="auto" w:sz="4" w:space="0"/>
            </w:tcBorders>
            <w:vAlign w:val="center"/>
          </w:tcPr>
          <w:p w14:paraId="4BC1B756">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1ADD4153">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4703C62B">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709" w:type="dxa"/>
            <w:tcBorders>
              <w:top w:val="nil"/>
              <w:left w:val="nil"/>
              <w:bottom w:val="single" w:color="auto" w:sz="4" w:space="0"/>
              <w:right w:val="single" w:color="auto" w:sz="4" w:space="0"/>
            </w:tcBorders>
            <w:vAlign w:val="center"/>
          </w:tcPr>
          <w:p w14:paraId="76C8714D">
            <w:pPr>
              <w:adjustRightInd w:val="0"/>
              <w:snapToGrid w:val="0"/>
              <w:jc w:val="center"/>
              <w:rPr>
                <w:rFonts w:ascii="宋体" w:hAnsi="宋体" w:eastAsia="宋体"/>
                <w:sz w:val="18"/>
                <w:szCs w:val="18"/>
              </w:rPr>
            </w:pPr>
            <w:r>
              <w:rPr>
                <w:rFonts w:hint="eastAsia" w:ascii="宋体" w:hAnsi="宋体" w:eastAsia="宋体"/>
                <w:sz w:val="18"/>
                <w:szCs w:val="18"/>
              </w:rPr>
              <w:t>3</w:t>
            </w:r>
          </w:p>
        </w:tc>
        <w:tc>
          <w:tcPr>
            <w:tcW w:w="567" w:type="dxa"/>
            <w:tcBorders>
              <w:top w:val="nil"/>
              <w:left w:val="nil"/>
              <w:bottom w:val="single" w:color="auto" w:sz="4" w:space="0"/>
              <w:right w:val="single" w:color="auto" w:sz="4" w:space="0"/>
            </w:tcBorders>
            <w:vAlign w:val="center"/>
          </w:tcPr>
          <w:p w14:paraId="457B276B">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CDE2BA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0E771F45">
            <w:pPr>
              <w:widowControl/>
              <w:jc w:val="center"/>
              <w:rPr>
                <w:rFonts w:ascii="宋体" w:hAnsi="宋体" w:eastAsia="宋体" w:cs="宋体"/>
                <w:kern w:val="0"/>
                <w:sz w:val="18"/>
                <w:szCs w:val="18"/>
              </w:rPr>
            </w:pPr>
          </w:p>
        </w:tc>
      </w:tr>
      <w:tr w14:paraId="2E8FCCF5">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11BE746A">
            <w:pPr>
              <w:jc w:val="center"/>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4B33C83D">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single" w:color="auto" w:sz="4" w:space="0"/>
            </w:tcBorders>
            <w:vAlign w:val="center"/>
          </w:tcPr>
          <w:p w14:paraId="3CCD9960">
            <w:pPr>
              <w:adjustRightInd w:val="0"/>
              <w:snapToGrid w:val="0"/>
              <w:jc w:val="center"/>
              <w:rPr>
                <w:rFonts w:ascii="宋体" w:hAnsi="宋体" w:eastAsia="宋体"/>
                <w:sz w:val="18"/>
                <w:szCs w:val="18"/>
              </w:rPr>
            </w:pPr>
            <w:r>
              <w:rPr>
                <w:rFonts w:hint="eastAsia" w:ascii="宋体" w:hAnsi="宋体" w:eastAsia="宋体"/>
                <w:sz w:val="18"/>
                <w:szCs w:val="18"/>
              </w:rPr>
              <w:t>1711004</w:t>
            </w:r>
          </w:p>
        </w:tc>
        <w:tc>
          <w:tcPr>
            <w:tcW w:w="1859" w:type="dxa"/>
            <w:gridSpan w:val="2"/>
            <w:tcBorders>
              <w:top w:val="nil"/>
              <w:left w:val="nil"/>
              <w:bottom w:val="single" w:color="auto" w:sz="4" w:space="0"/>
              <w:right w:val="single" w:color="auto" w:sz="4" w:space="0"/>
            </w:tcBorders>
            <w:vAlign w:val="center"/>
          </w:tcPr>
          <w:p w14:paraId="29729344">
            <w:pPr>
              <w:adjustRightInd w:val="0"/>
              <w:snapToGrid w:val="0"/>
              <w:jc w:val="center"/>
              <w:rPr>
                <w:rFonts w:ascii="宋体" w:hAnsi="宋体" w:eastAsia="宋体"/>
                <w:sz w:val="18"/>
                <w:szCs w:val="18"/>
              </w:rPr>
            </w:pPr>
            <w:r>
              <w:rPr>
                <w:rFonts w:hint="eastAsia" w:ascii="宋体" w:hAnsi="宋体" w:eastAsia="宋体"/>
                <w:sz w:val="18"/>
                <w:szCs w:val="18"/>
              </w:rPr>
              <w:t>税收基础</w:t>
            </w:r>
          </w:p>
        </w:tc>
        <w:tc>
          <w:tcPr>
            <w:tcW w:w="731" w:type="dxa"/>
            <w:tcBorders>
              <w:top w:val="nil"/>
              <w:left w:val="nil"/>
              <w:bottom w:val="single" w:color="auto" w:sz="4" w:space="0"/>
              <w:right w:val="single" w:color="auto" w:sz="4" w:space="0"/>
            </w:tcBorders>
            <w:vAlign w:val="center"/>
          </w:tcPr>
          <w:p w14:paraId="0FD576C5">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126</w:t>
            </w:r>
          </w:p>
        </w:tc>
        <w:tc>
          <w:tcPr>
            <w:tcW w:w="613" w:type="dxa"/>
            <w:tcBorders>
              <w:top w:val="nil"/>
              <w:left w:val="nil"/>
              <w:bottom w:val="single" w:color="auto" w:sz="4" w:space="0"/>
              <w:right w:val="single" w:color="auto" w:sz="4" w:space="0"/>
            </w:tcBorders>
            <w:vAlign w:val="center"/>
          </w:tcPr>
          <w:p w14:paraId="67903A48">
            <w:pPr>
              <w:adjustRightInd w:val="0"/>
              <w:snapToGrid w:val="0"/>
              <w:jc w:val="center"/>
              <w:rPr>
                <w:rFonts w:ascii="宋体" w:hAnsi="宋体" w:eastAsia="宋体"/>
                <w:sz w:val="18"/>
                <w:szCs w:val="18"/>
              </w:rPr>
            </w:pPr>
            <w:r>
              <w:rPr>
                <w:rFonts w:hint="eastAsia" w:ascii="宋体" w:hAnsi="宋体" w:eastAsia="宋体"/>
                <w:sz w:val="18"/>
                <w:szCs w:val="18"/>
              </w:rPr>
              <w:t>7</w:t>
            </w:r>
          </w:p>
        </w:tc>
        <w:tc>
          <w:tcPr>
            <w:tcW w:w="705" w:type="dxa"/>
            <w:tcBorders>
              <w:top w:val="nil"/>
              <w:left w:val="single" w:color="auto" w:sz="4" w:space="0"/>
              <w:bottom w:val="single" w:color="auto" w:sz="4" w:space="0"/>
              <w:right w:val="single" w:color="auto" w:sz="4" w:space="0"/>
            </w:tcBorders>
            <w:vAlign w:val="center"/>
          </w:tcPr>
          <w:p w14:paraId="6B18CC9A">
            <w:pPr>
              <w:adjustRightInd w:val="0"/>
              <w:snapToGrid w:val="0"/>
              <w:jc w:val="center"/>
              <w:rPr>
                <w:rFonts w:ascii="宋体" w:hAnsi="宋体" w:eastAsia="宋体"/>
                <w:sz w:val="18"/>
                <w:szCs w:val="18"/>
              </w:rPr>
            </w:pPr>
            <w:r>
              <w:rPr>
                <w:rFonts w:hint="eastAsia" w:ascii="宋体" w:hAnsi="宋体" w:eastAsia="宋体"/>
                <w:sz w:val="18"/>
                <w:szCs w:val="18"/>
              </w:rPr>
              <w:t>72</w:t>
            </w:r>
          </w:p>
        </w:tc>
        <w:tc>
          <w:tcPr>
            <w:tcW w:w="487" w:type="dxa"/>
            <w:tcBorders>
              <w:top w:val="nil"/>
              <w:left w:val="nil"/>
              <w:bottom w:val="single" w:color="auto" w:sz="4" w:space="0"/>
              <w:right w:val="single" w:color="auto" w:sz="4" w:space="0"/>
            </w:tcBorders>
            <w:vAlign w:val="center"/>
          </w:tcPr>
          <w:p w14:paraId="5A8B8661">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1B0AC9C5">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6B1EC54C">
            <w:pPr>
              <w:adjustRightInd w:val="0"/>
              <w:snapToGrid w:val="0"/>
              <w:jc w:val="center"/>
              <w:rPr>
                <w:rFonts w:ascii="宋体" w:hAnsi="宋体" w:eastAsia="宋体"/>
                <w:sz w:val="18"/>
                <w:szCs w:val="18"/>
              </w:rPr>
            </w:pPr>
            <w:r>
              <w:rPr>
                <w:rFonts w:hint="eastAsia" w:ascii="宋体" w:hAnsi="宋体" w:eastAsia="宋体"/>
                <w:sz w:val="18"/>
                <w:szCs w:val="18"/>
              </w:rPr>
              <w:t>3</w:t>
            </w:r>
          </w:p>
        </w:tc>
        <w:tc>
          <w:tcPr>
            <w:tcW w:w="709" w:type="dxa"/>
            <w:tcBorders>
              <w:top w:val="nil"/>
              <w:left w:val="nil"/>
              <w:bottom w:val="single" w:color="auto" w:sz="4" w:space="0"/>
              <w:right w:val="single" w:color="auto" w:sz="4" w:space="0"/>
            </w:tcBorders>
            <w:vAlign w:val="center"/>
          </w:tcPr>
          <w:p w14:paraId="15EC6E1C">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567" w:type="dxa"/>
            <w:tcBorders>
              <w:top w:val="nil"/>
              <w:left w:val="nil"/>
              <w:bottom w:val="single" w:color="auto" w:sz="4" w:space="0"/>
              <w:right w:val="single" w:color="auto" w:sz="4" w:space="0"/>
            </w:tcBorders>
            <w:vAlign w:val="center"/>
          </w:tcPr>
          <w:p w14:paraId="36677C01">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FE15D70">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1278617">
            <w:pPr>
              <w:widowControl/>
              <w:jc w:val="center"/>
              <w:rPr>
                <w:rFonts w:ascii="宋体" w:hAnsi="宋体" w:eastAsia="宋体" w:cs="宋体"/>
                <w:kern w:val="0"/>
                <w:sz w:val="18"/>
                <w:szCs w:val="18"/>
              </w:rPr>
            </w:pPr>
          </w:p>
        </w:tc>
      </w:tr>
      <w:tr w14:paraId="2DB7F7BB">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EF9A4B5">
            <w:pPr>
              <w:jc w:val="center"/>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1D6125D7">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single" w:color="auto" w:sz="4" w:space="0"/>
            </w:tcBorders>
            <w:vAlign w:val="center"/>
          </w:tcPr>
          <w:p w14:paraId="336E05F1">
            <w:pPr>
              <w:adjustRightInd w:val="0"/>
              <w:snapToGrid w:val="0"/>
              <w:jc w:val="center"/>
              <w:rPr>
                <w:rFonts w:ascii="宋体" w:hAnsi="宋体" w:eastAsia="宋体"/>
                <w:sz w:val="18"/>
                <w:szCs w:val="18"/>
              </w:rPr>
            </w:pPr>
            <w:r>
              <w:rPr>
                <w:rFonts w:hint="eastAsia" w:ascii="宋体" w:hAnsi="宋体" w:eastAsia="宋体"/>
                <w:sz w:val="18"/>
                <w:szCs w:val="18"/>
              </w:rPr>
              <w:t>1713001</w:t>
            </w:r>
          </w:p>
        </w:tc>
        <w:tc>
          <w:tcPr>
            <w:tcW w:w="1859" w:type="dxa"/>
            <w:gridSpan w:val="2"/>
            <w:tcBorders>
              <w:top w:val="nil"/>
              <w:left w:val="nil"/>
              <w:bottom w:val="single" w:color="auto" w:sz="4" w:space="0"/>
              <w:right w:val="single" w:color="auto" w:sz="4" w:space="0"/>
            </w:tcBorders>
            <w:vAlign w:val="center"/>
          </w:tcPr>
          <w:p w14:paraId="29D6358E">
            <w:pPr>
              <w:adjustRightInd w:val="0"/>
              <w:snapToGrid w:val="0"/>
              <w:jc w:val="center"/>
              <w:rPr>
                <w:rFonts w:ascii="宋体" w:hAnsi="宋体" w:eastAsia="宋体"/>
                <w:sz w:val="18"/>
                <w:szCs w:val="18"/>
              </w:rPr>
            </w:pPr>
            <w:r>
              <w:rPr>
                <w:rFonts w:hint="eastAsia" w:ascii="宋体" w:hAnsi="宋体" w:eastAsia="宋体"/>
                <w:sz w:val="18"/>
                <w:szCs w:val="18"/>
              </w:rPr>
              <w:t>会计电算化</w:t>
            </w:r>
          </w:p>
        </w:tc>
        <w:tc>
          <w:tcPr>
            <w:tcW w:w="731" w:type="dxa"/>
            <w:tcBorders>
              <w:top w:val="nil"/>
              <w:left w:val="nil"/>
              <w:bottom w:val="single" w:color="auto" w:sz="4" w:space="0"/>
              <w:right w:val="single" w:color="auto" w:sz="4" w:space="0"/>
            </w:tcBorders>
            <w:vAlign w:val="center"/>
          </w:tcPr>
          <w:p w14:paraId="310EFCBE">
            <w:pPr>
              <w:adjustRightInd w:val="0"/>
              <w:snapToGrid w:val="0"/>
              <w:jc w:val="center"/>
              <w:rPr>
                <w:rFonts w:ascii="宋体" w:hAnsi="宋体" w:eastAsia="宋体"/>
                <w:sz w:val="18"/>
                <w:szCs w:val="18"/>
              </w:rPr>
            </w:pPr>
            <w:r>
              <w:rPr>
                <w:rFonts w:ascii="宋体" w:hAnsi="宋体" w:eastAsia="宋体"/>
                <w:sz w:val="18"/>
                <w:szCs w:val="18"/>
              </w:rPr>
              <w:t>72</w:t>
            </w:r>
          </w:p>
        </w:tc>
        <w:tc>
          <w:tcPr>
            <w:tcW w:w="613" w:type="dxa"/>
            <w:tcBorders>
              <w:top w:val="nil"/>
              <w:left w:val="nil"/>
              <w:bottom w:val="single" w:color="auto" w:sz="4" w:space="0"/>
              <w:right w:val="single" w:color="auto" w:sz="4" w:space="0"/>
            </w:tcBorders>
            <w:vAlign w:val="center"/>
          </w:tcPr>
          <w:p w14:paraId="6579D1B1">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705" w:type="dxa"/>
            <w:tcBorders>
              <w:top w:val="nil"/>
              <w:left w:val="single" w:color="auto" w:sz="4" w:space="0"/>
              <w:bottom w:val="single" w:color="auto" w:sz="4" w:space="0"/>
              <w:right w:val="single" w:color="auto" w:sz="4" w:space="0"/>
            </w:tcBorders>
            <w:vAlign w:val="center"/>
          </w:tcPr>
          <w:p w14:paraId="0D6D43F6">
            <w:pPr>
              <w:adjustRightInd w:val="0"/>
              <w:snapToGrid w:val="0"/>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6</w:t>
            </w:r>
          </w:p>
        </w:tc>
        <w:tc>
          <w:tcPr>
            <w:tcW w:w="487" w:type="dxa"/>
            <w:tcBorders>
              <w:top w:val="nil"/>
              <w:left w:val="nil"/>
              <w:bottom w:val="single" w:color="auto" w:sz="4" w:space="0"/>
              <w:right w:val="single" w:color="auto" w:sz="4" w:space="0"/>
            </w:tcBorders>
            <w:vAlign w:val="center"/>
          </w:tcPr>
          <w:p w14:paraId="09AB031C">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2CD8EC32">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3293AE33">
            <w:pPr>
              <w:adjustRightInd w:val="0"/>
              <w:snapToGrid w:val="0"/>
              <w:jc w:val="center"/>
              <w:rPr>
                <w:rFonts w:ascii="宋体" w:hAnsi="宋体" w:eastAsia="宋体"/>
                <w:sz w:val="18"/>
                <w:szCs w:val="18"/>
              </w:rPr>
            </w:pPr>
          </w:p>
        </w:tc>
        <w:tc>
          <w:tcPr>
            <w:tcW w:w="709" w:type="dxa"/>
            <w:tcBorders>
              <w:top w:val="nil"/>
              <w:left w:val="nil"/>
              <w:bottom w:val="single" w:color="auto" w:sz="4" w:space="0"/>
              <w:right w:val="single" w:color="auto" w:sz="4" w:space="0"/>
            </w:tcBorders>
            <w:vAlign w:val="center"/>
          </w:tcPr>
          <w:p w14:paraId="63922CAD">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567" w:type="dxa"/>
            <w:tcBorders>
              <w:top w:val="nil"/>
              <w:left w:val="nil"/>
              <w:bottom w:val="single" w:color="auto" w:sz="4" w:space="0"/>
              <w:right w:val="single" w:color="auto" w:sz="4" w:space="0"/>
            </w:tcBorders>
            <w:vAlign w:val="center"/>
          </w:tcPr>
          <w:p w14:paraId="4F57207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853BDD7">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13A74E5">
            <w:pPr>
              <w:widowControl/>
              <w:jc w:val="center"/>
              <w:rPr>
                <w:rFonts w:ascii="宋体" w:hAnsi="宋体" w:eastAsia="宋体" w:cs="宋体"/>
                <w:kern w:val="0"/>
                <w:sz w:val="18"/>
                <w:szCs w:val="18"/>
              </w:rPr>
            </w:pPr>
          </w:p>
        </w:tc>
      </w:tr>
      <w:tr w14:paraId="6EA811D0">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C71B701">
            <w:pPr>
              <w:jc w:val="center"/>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7FCC933D">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single" w:color="auto" w:sz="4" w:space="0"/>
            </w:tcBorders>
            <w:vAlign w:val="center"/>
          </w:tcPr>
          <w:p w14:paraId="49F75BDA">
            <w:pPr>
              <w:adjustRightInd w:val="0"/>
              <w:snapToGrid w:val="0"/>
              <w:jc w:val="center"/>
              <w:rPr>
                <w:rFonts w:ascii="宋体" w:hAnsi="宋体" w:eastAsia="宋体"/>
                <w:sz w:val="18"/>
                <w:szCs w:val="18"/>
              </w:rPr>
            </w:pPr>
            <w:r>
              <w:rPr>
                <w:rFonts w:hint="eastAsia" w:ascii="宋体" w:hAnsi="宋体" w:eastAsia="宋体"/>
                <w:sz w:val="18"/>
                <w:szCs w:val="18"/>
              </w:rPr>
              <w:t>1721002</w:t>
            </w:r>
          </w:p>
        </w:tc>
        <w:tc>
          <w:tcPr>
            <w:tcW w:w="1859" w:type="dxa"/>
            <w:gridSpan w:val="2"/>
            <w:tcBorders>
              <w:top w:val="nil"/>
              <w:left w:val="nil"/>
              <w:bottom w:val="single" w:color="auto" w:sz="4" w:space="0"/>
              <w:right w:val="single" w:color="auto" w:sz="4" w:space="0"/>
            </w:tcBorders>
            <w:vAlign w:val="center"/>
          </w:tcPr>
          <w:p w14:paraId="298A5406">
            <w:pPr>
              <w:adjustRightInd w:val="0"/>
              <w:snapToGrid w:val="0"/>
              <w:jc w:val="center"/>
              <w:rPr>
                <w:rFonts w:ascii="宋体" w:hAnsi="宋体" w:eastAsia="宋体"/>
                <w:sz w:val="18"/>
                <w:szCs w:val="18"/>
              </w:rPr>
            </w:pPr>
            <w:r>
              <w:rPr>
                <w:rFonts w:hint="eastAsia" w:ascii="宋体" w:hAnsi="宋体" w:eastAsia="宋体"/>
                <w:sz w:val="18"/>
                <w:szCs w:val="18"/>
              </w:rPr>
              <w:t>纳税实务</w:t>
            </w:r>
          </w:p>
        </w:tc>
        <w:tc>
          <w:tcPr>
            <w:tcW w:w="731" w:type="dxa"/>
            <w:tcBorders>
              <w:top w:val="nil"/>
              <w:left w:val="nil"/>
              <w:bottom w:val="single" w:color="auto" w:sz="4" w:space="0"/>
              <w:right w:val="single" w:color="auto" w:sz="4" w:space="0"/>
            </w:tcBorders>
            <w:vAlign w:val="center"/>
          </w:tcPr>
          <w:p w14:paraId="3B1415E9">
            <w:pPr>
              <w:adjustRightInd w:val="0"/>
              <w:snapToGrid w:val="0"/>
              <w:jc w:val="center"/>
              <w:rPr>
                <w:rFonts w:ascii="宋体" w:hAnsi="宋体" w:eastAsia="宋体"/>
                <w:sz w:val="18"/>
                <w:szCs w:val="18"/>
              </w:rPr>
            </w:pPr>
            <w:r>
              <w:rPr>
                <w:rFonts w:ascii="宋体" w:hAnsi="宋体" w:eastAsia="宋体"/>
                <w:sz w:val="18"/>
                <w:szCs w:val="18"/>
              </w:rPr>
              <w:t>72</w:t>
            </w:r>
          </w:p>
        </w:tc>
        <w:tc>
          <w:tcPr>
            <w:tcW w:w="613" w:type="dxa"/>
            <w:tcBorders>
              <w:top w:val="nil"/>
              <w:left w:val="nil"/>
              <w:bottom w:val="single" w:color="auto" w:sz="4" w:space="0"/>
              <w:right w:val="single" w:color="auto" w:sz="4" w:space="0"/>
            </w:tcBorders>
            <w:vAlign w:val="center"/>
          </w:tcPr>
          <w:p w14:paraId="58629151">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705" w:type="dxa"/>
            <w:tcBorders>
              <w:top w:val="nil"/>
              <w:left w:val="single" w:color="auto" w:sz="4" w:space="0"/>
              <w:bottom w:val="single" w:color="auto" w:sz="4" w:space="0"/>
              <w:right w:val="single" w:color="auto" w:sz="4" w:space="0"/>
            </w:tcBorders>
            <w:vAlign w:val="center"/>
          </w:tcPr>
          <w:p w14:paraId="76D6B754">
            <w:pPr>
              <w:adjustRightInd w:val="0"/>
              <w:snapToGrid w:val="0"/>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6</w:t>
            </w:r>
          </w:p>
        </w:tc>
        <w:tc>
          <w:tcPr>
            <w:tcW w:w="487" w:type="dxa"/>
            <w:tcBorders>
              <w:top w:val="nil"/>
              <w:left w:val="nil"/>
              <w:bottom w:val="single" w:color="auto" w:sz="4" w:space="0"/>
              <w:right w:val="single" w:color="auto" w:sz="4" w:space="0"/>
            </w:tcBorders>
            <w:vAlign w:val="center"/>
          </w:tcPr>
          <w:p w14:paraId="1C3DE8B5">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23A75DBA">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1F6898BC">
            <w:pPr>
              <w:adjustRightInd w:val="0"/>
              <w:snapToGrid w:val="0"/>
              <w:jc w:val="center"/>
              <w:rPr>
                <w:rFonts w:ascii="宋体" w:hAnsi="宋体" w:eastAsia="宋体"/>
                <w:sz w:val="18"/>
                <w:szCs w:val="18"/>
              </w:rPr>
            </w:pPr>
          </w:p>
        </w:tc>
        <w:tc>
          <w:tcPr>
            <w:tcW w:w="709" w:type="dxa"/>
            <w:tcBorders>
              <w:top w:val="nil"/>
              <w:left w:val="nil"/>
              <w:bottom w:val="single" w:color="auto" w:sz="4" w:space="0"/>
              <w:right w:val="single" w:color="auto" w:sz="4" w:space="0"/>
            </w:tcBorders>
            <w:vAlign w:val="center"/>
          </w:tcPr>
          <w:p w14:paraId="333F250B">
            <w:pPr>
              <w:adjustRightInd w:val="0"/>
              <w:snapToGrid w:val="0"/>
              <w:jc w:val="center"/>
              <w:rPr>
                <w:rFonts w:ascii="宋体" w:hAnsi="宋体" w:eastAsia="宋体"/>
                <w:sz w:val="18"/>
                <w:szCs w:val="18"/>
              </w:rPr>
            </w:pPr>
            <w:r>
              <w:rPr>
                <w:rFonts w:hint="eastAsia" w:ascii="宋体" w:hAnsi="宋体" w:eastAsia="宋体"/>
                <w:sz w:val="18"/>
                <w:szCs w:val="18"/>
              </w:rPr>
              <w:t>4</w:t>
            </w:r>
          </w:p>
        </w:tc>
        <w:tc>
          <w:tcPr>
            <w:tcW w:w="567" w:type="dxa"/>
            <w:tcBorders>
              <w:top w:val="nil"/>
              <w:left w:val="nil"/>
              <w:bottom w:val="single" w:color="auto" w:sz="4" w:space="0"/>
              <w:right w:val="single" w:color="auto" w:sz="4" w:space="0"/>
            </w:tcBorders>
            <w:vAlign w:val="center"/>
          </w:tcPr>
          <w:p w14:paraId="1D6EB86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A26D61F">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576DC9A">
            <w:pPr>
              <w:widowControl/>
              <w:jc w:val="center"/>
              <w:rPr>
                <w:rFonts w:ascii="宋体" w:hAnsi="宋体" w:eastAsia="宋体" w:cs="宋体"/>
                <w:kern w:val="0"/>
                <w:sz w:val="18"/>
                <w:szCs w:val="18"/>
              </w:rPr>
            </w:pPr>
          </w:p>
        </w:tc>
      </w:tr>
      <w:tr w14:paraId="62804968">
        <w:tblPrEx>
          <w:tblCellMar>
            <w:top w:w="0" w:type="dxa"/>
            <w:left w:w="108" w:type="dxa"/>
            <w:bottom w:w="0" w:type="dxa"/>
            <w:right w:w="108" w:type="dxa"/>
          </w:tblCellMar>
        </w:tblPrEx>
        <w:trPr>
          <w:trHeight w:val="437" w:hRule="atLeast"/>
          <w:jc w:val="center"/>
        </w:trPr>
        <w:tc>
          <w:tcPr>
            <w:tcW w:w="463" w:type="dxa"/>
            <w:vMerge w:val="continue"/>
            <w:tcBorders>
              <w:left w:val="single" w:color="auto" w:sz="4" w:space="0"/>
              <w:right w:val="single" w:color="auto" w:sz="4" w:space="0"/>
            </w:tcBorders>
            <w:vAlign w:val="center"/>
          </w:tcPr>
          <w:p w14:paraId="21A75413">
            <w:pPr>
              <w:jc w:val="center"/>
              <w:rPr>
                <w:rFonts w:ascii="宋体" w:hAnsi="宋体" w:eastAsia="宋体" w:cs="宋体"/>
                <w:kern w:val="0"/>
                <w:sz w:val="18"/>
                <w:szCs w:val="18"/>
              </w:rPr>
            </w:pPr>
          </w:p>
        </w:tc>
        <w:tc>
          <w:tcPr>
            <w:tcW w:w="426" w:type="dxa"/>
            <w:vMerge w:val="continue"/>
            <w:tcBorders>
              <w:left w:val="single" w:color="auto" w:sz="4" w:space="0"/>
              <w:right w:val="single" w:color="auto" w:sz="4" w:space="0"/>
            </w:tcBorders>
            <w:vAlign w:val="center"/>
          </w:tcPr>
          <w:p w14:paraId="02EFB15C">
            <w:pPr>
              <w:jc w:val="center"/>
              <w:rPr>
                <w:rFonts w:ascii="宋体" w:hAnsi="宋体" w:eastAsia="宋体" w:cs="宋体"/>
                <w:kern w:val="0"/>
                <w:sz w:val="18"/>
                <w:szCs w:val="18"/>
              </w:rPr>
            </w:pPr>
          </w:p>
        </w:tc>
        <w:tc>
          <w:tcPr>
            <w:tcW w:w="2993" w:type="dxa"/>
            <w:gridSpan w:val="3"/>
            <w:tcBorders>
              <w:top w:val="nil"/>
              <w:left w:val="single" w:color="auto" w:sz="4" w:space="0"/>
              <w:bottom w:val="single" w:color="auto" w:sz="4" w:space="0"/>
              <w:right w:val="single" w:color="auto" w:sz="4" w:space="0"/>
            </w:tcBorders>
            <w:vAlign w:val="center"/>
          </w:tcPr>
          <w:p w14:paraId="104F10A3">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小计（占总课时比例13.52%）</w:t>
            </w:r>
          </w:p>
        </w:tc>
        <w:tc>
          <w:tcPr>
            <w:tcW w:w="731" w:type="dxa"/>
            <w:tcBorders>
              <w:top w:val="nil"/>
              <w:left w:val="nil"/>
              <w:bottom w:val="single" w:color="auto" w:sz="4" w:space="0"/>
              <w:right w:val="single" w:color="auto" w:sz="4" w:space="0"/>
            </w:tcBorders>
            <w:vAlign w:val="center"/>
          </w:tcPr>
          <w:p w14:paraId="7524D89B">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396</w:t>
            </w:r>
          </w:p>
        </w:tc>
        <w:tc>
          <w:tcPr>
            <w:tcW w:w="613" w:type="dxa"/>
            <w:tcBorders>
              <w:top w:val="nil"/>
              <w:left w:val="nil"/>
              <w:bottom w:val="single" w:color="auto" w:sz="4" w:space="0"/>
              <w:right w:val="single" w:color="auto" w:sz="4" w:space="0"/>
            </w:tcBorders>
            <w:vAlign w:val="center"/>
          </w:tcPr>
          <w:p w14:paraId="30682B6F">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22</w:t>
            </w:r>
          </w:p>
        </w:tc>
        <w:tc>
          <w:tcPr>
            <w:tcW w:w="705" w:type="dxa"/>
            <w:tcBorders>
              <w:top w:val="nil"/>
              <w:left w:val="single" w:color="auto" w:sz="4" w:space="0"/>
              <w:bottom w:val="single" w:color="auto" w:sz="4" w:space="0"/>
              <w:right w:val="single" w:color="auto" w:sz="4" w:space="0"/>
            </w:tcBorders>
            <w:vAlign w:val="center"/>
          </w:tcPr>
          <w:p w14:paraId="39FD54C1">
            <w:pPr>
              <w:adjustRightInd w:val="0"/>
              <w:snapToGrid w:val="0"/>
              <w:jc w:val="center"/>
              <w:rPr>
                <w:rFonts w:ascii="宋体" w:hAnsi="宋体" w:eastAsia="宋体"/>
                <w:sz w:val="18"/>
                <w:szCs w:val="18"/>
              </w:rPr>
            </w:pPr>
            <w:r>
              <w:rPr>
                <w:rFonts w:hint="eastAsia" w:ascii="宋体" w:hAnsi="宋体" w:eastAsia="宋体"/>
                <w:sz w:val="18"/>
                <w:szCs w:val="18"/>
              </w:rPr>
              <w:t>216</w:t>
            </w:r>
          </w:p>
        </w:tc>
        <w:tc>
          <w:tcPr>
            <w:tcW w:w="487" w:type="dxa"/>
            <w:tcBorders>
              <w:top w:val="nil"/>
              <w:left w:val="nil"/>
              <w:bottom w:val="single" w:color="auto" w:sz="4" w:space="0"/>
              <w:right w:val="single" w:color="auto" w:sz="4" w:space="0"/>
            </w:tcBorders>
            <w:vAlign w:val="center"/>
          </w:tcPr>
          <w:p w14:paraId="400307A4">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41480129">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77ED5514">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126</w:t>
            </w:r>
          </w:p>
        </w:tc>
        <w:tc>
          <w:tcPr>
            <w:tcW w:w="709" w:type="dxa"/>
            <w:tcBorders>
              <w:top w:val="nil"/>
              <w:left w:val="nil"/>
              <w:bottom w:val="single" w:color="auto" w:sz="4" w:space="0"/>
              <w:right w:val="single" w:color="auto" w:sz="4" w:space="0"/>
            </w:tcBorders>
            <w:vAlign w:val="center"/>
          </w:tcPr>
          <w:p w14:paraId="56FD87D1">
            <w:pPr>
              <w:adjustRightInd w:val="0"/>
              <w:snapToGrid w:val="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270</w:t>
            </w:r>
          </w:p>
        </w:tc>
        <w:tc>
          <w:tcPr>
            <w:tcW w:w="567" w:type="dxa"/>
            <w:tcBorders>
              <w:top w:val="nil"/>
              <w:left w:val="nil"/>
              <w:bottom w:val="single" w:color="auto" w:sz="4" w:space="0"/>
              <w:right w:val="single" w:color="auto" w:sz="4" w:space="0"/>
            </w:tcBorders>
            <w:vAlign w:val="center"/>
          </w:tcPr>
          <w:p w14:paraId="6D1E4B0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85C0ECF">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7BB316A">
            <w:pPr>
              <w:widowControl/>
              <w:jc w:val="center"/>
              <w:rPr>
                <w:rFonts w:ascii="宋体" w:hAnsi="宋体" w:eastAsia="宋体" w:cs="宋体"/>
                <w:kern w:val="0"/>
                <w:sz w:val="18"/>
                <w:szCs w:val="18"/>
              </w:rPr>
            </w:pPr>
          </w:p>
        </w:tc>
      </w:tr>
      <w:tr w14:paraId="0BCAF161">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091C67CE">
            <w:pPr>
              <w:widowControl/>
              <w:jc w:val="center"/>
              <w:rPr>
                <w:rFonts w:ascii="宋体" w:hAnsi="宋体" w:eastAsia="宋体" w:cs="宋体"/>
                <w:kern w:val="0"/>
                <w:sz w:val="18"/>
                <w:szCs w:val="18"/>
              </w:rPr>
            </w:pPr>
          </w:p>
        </w:tc>
        <w:tc>
          <w:tcPr>
            <w:tcW w:w="426" w:type="dxa"/>
            <w:vMerge w:val="restart"/>
            <w:tcBorders>
              <w:top w:val="single" w:color="auto" w:sz="4" w:space="0"/>
              <w:left w:val="single" w:color="auto" w:sz="4" w:space="0"/>
              <w:bottom w:val="single" w:color="000000" w:sz="4" w:space="0"/>
              <w:right w:val="nil"/>
            </w:tcBorders>
            <w:vAlign w:val="center"/>
          </w:tcPr>
          <w:p w14:paraId="0EAEF615">
            <w:pPr>
              <w:widowControl/>
              <w:jc w:val="center"/>
              <w:rPr>
                <w:rFonts w:ascii="宋体" w:hAnsi="宋体" w:eastAsia="宋体" w:cs="宋体"/>
                <w:kern w:val="0"/>
                <w:sz w:val="18"/>
                <w:szCs w:val="18"/>
              </w:rPr>
            </w:pPr>
            <w:r>
              <w:rPr>
                <w:rFonts w:hint="eastAsia" w:ascii="宋体" w:hAnsi="宋体" w:eastAsia="宋体" w:cs="宋体"/>
                <w:kern w:val="0"/>
                <w:sz w:val="18"/>
                <w:szCs w:val="18"/>
              </w:rPr>
              <w:t>专业拓展课程</w:t>
            </w:r>
          </w:p>
        </w:tc>
        <w:tc>
          <w:tcPr>
            <w:tcW w:w="1134" w:type="dxa"/>
            <w:tcBorders>
              <w:top w:val="nil"/>
              <w:left w:val="single" w:color="auto" w:sz="4" w:space="0"/>
              <w:bottom w:val="single" w:color="auto" w:sz="4" w:space="0"/>
              <w:right w:val="nil"/>
            </w:tcBorders>
            <w:vAlign w:val="center"/>
          </w:tcPr>
          <w:p w14:paraId="640D8338">
            <w:pPr>
              <w:adjustRightInd w:val="0"/>
              <w:snapToGrid w:val="0"/>
              <w:jc w:val="center"/>
              <w:rPr>
                <w:rFonts w:ascii="宋体" w:hAnsi="宋体" w:eastAsia="宋体"/>
                <w:sz w:val="18"/>
                <w:szCs w:val="18"/>
              </w:rPr>
            </w:pPr>
            <w:r>
              <w:rPr>
                <w:rFonts w:hint="eastAsia" w:ascii="宋体" w:hAnsi="宋体" w:eastAsia="宋体"/>
                <w:sz w:val="18"/>
                <w:szCs w:val="18"/>
              </w:rPr>
              <w:t>1721001</w:t>
            </w:r>
          </w:p>
        </w:tc>
        <w:tc>
          <w:tcPr>
            <w:tcW w:w="1859" w:type="dxa"/>
            <w:gridSpan w:val="2"/>
            <w:tcBorders>
              <w:top w:val="nil"/>
              <w:left w:val="single" w:color="auto" w:sz="4" w:space="0"/>
              <w:bottom w:val="single" w:color="auto" w:sz="4" w:space="0"/>
              <w:right w:val="single" w:color="auto" w:sz="4" w:space="0"/>
            </w:tcBorders>
            <w:vAlign w:val="center"/>
          </w:tcPr>
          <w:p w14:paraId="73737438">
            <w:pPr>
              <w:adjustRightInd w:val="0"/>
              <w:snapToGrid w:val="0"/>
              <w:jc w:val="center"/>
              <w:rPr>
                <w:rFonts w:ascii="宋体" w:hAnsi="宋体" w:eastAsia="宋体"/>
                <w:sz w:val="18"/>
                <w:szCs w:val="18"/>
              </w:rPr>
            </w:pPr>
            <w:r>
              <w:rPr>
                <w:rFonts w:hint="eastAsia" w:ascii="宋体" w:hAnsi="宋体" w:eastAsia="宋体"/>
                <w:sz w:val="18"/>
                <w:szCs w:val="18"/>
              </w:rPr>
              <w:t>金融认知</w:t>
            </w:r>
          </w:p>
        </w:tc>
        <w:tc>
          <w:tcPr>
            <w:tcW w:w="731" w:type="dxa"/>
            <w:tcBorders>
              <w:top w:val="nil"/>
              <w:left w:val="nil"/>
              <w:bottom w:val="single" w:color="auto" w:sz="4" w:space="0"/>
              <w:right w:val="single" w:color="auto" w:sz="4" w:space="0"/>
            </w:tcBorders>
            <w:vAlign w:val="center"/>
          </w:tcPr>
          <w:p w14:paraId="75B2E7F3">
            <w:pPr>
              <w:adjustRightInd w:val="0"/>
              <w:snapToGrid w:val="0"/>
              <w:jc w:val="center"/>
              <w:rPr>
                <w:rFonts w:ascii="宋体" w:hAnsi="宋体" w:eastAsia="宋体"/>
                <w:sz w:val="18"/>
                <w:szCs w:val="18"/>
              </w:rPr>
            </w:pPr>
            <w:r>
              <w:rPr>
                <w:rFonts w:hint="eastAsia" w:ascii="宋体" w:hAnsi="宋体" w:eastAsia="宋体"/>
                <w:sz w:val="18"/>
                <w:szCs w:val="18"/>
              </w:rPr>
              <w:t>36</w:t>
            </w:r>
          </w:p>
        </w:tc>
        <w:tc>
          <w:tcPr>
            <w:tcW w:w="613" w:type="dxa"/>
            <w:tcBorders>
              <w:top w:val="nil"/>
              <w:left w:val="nil"/>
              <w:bottom w:val="single" w:color="auto" w:sz="4" w:space="0"/>
              <w:right w:val="single" w:color="auto" w:sz="4" w:space="0"/>
            </w:tcBorders>
            <w:vAlign w:val="center"/>
          </w:tcPr>
          <w:p w14:paraId="235E43FB">
            <w:pPr>
              <w:adjustRightInd w:val="0"/>
              <w:snapToGrid w:val="0"/>
              <w:jc w:val="center"/>
              <w:rPr>
                <w:rFonts w:ascii="宋体" w:hAnsi="宋体" w:eastAsia="宋体"/>
                <w:sz w:val="18"/>
                <w:szCs w:val="18"/>
              </w:rPr>
            </w:pPr>
          </w:p>
        </w:tc>
        <w:tc>
          <w:tcPr>
            <w:tcW w:w="705" w:type="dxa"/>
            <w:tcBorders>
              <w:top w:val="nil"/>
              <w:left w:val="single" w:color="auto" w:sz="4" w:space="0"/>
              <w:bottom w:val="single" w:color="auto" w:sz="4" w:space="0"/>
              <w:right w:val="single" w:color="auto" w:sz="4" w:space="0"/>
            </w:tcBorders>
            <w:vAlign w:val="center"/>
          </w:tcPr>
          <w:p w14:paraId="7EDF9EB7">
            <w:pPr>
              <w:adjustRightInd w:val="0"/>
              <w:snapToGrid w:val="0"/>
              <w:jc w:val="center"/>
              <w:rPr>
                <w:rFonts w:ascii="宋体" w:hAnsi="宋体" w:eastAsia="宋体"/>
                <w:sz w:val="18"/>
                <w:szCs w:val="18"/>
              </w:rPr>
            </w:pPr>
          </w:p>
        </w:tc>
        <w:tc>
          <w:tcPr>
            <w:tcW w:w="487" w:type="dxa"/>
            <w:tcBorders>
              <w:top w:val="nil"/>
              <w:left w:val="nil"/>
              <w:bottom w:val="single" w:color="auto" w:sz="4" w:space="0"/>
              <w:right w:val="single" w:color="auto" w:sz="4" w:space="0"/>
            </w:tcBorders>
            <w:vAlign w:val="center"/>
          </w:tcPr>
          <w:p w14:paraId="29F86384">
            <w:pPr>
              <w:adjustRightInd w:val="0"/>
              <w:snapToGrid w:val="0"/>
              <w:jc w:val="center"/>
              <w:rPr>
                <w:rFonts w:ascii="宋体" w:hAnsi="宋体" w:eastAsia="宋体"/>
                <w:sz w:val="18"/>
                <w:szCs w:val="18"/>
              </w:rPr>
            </w:pPr>
          </w:p>
        </w:tc>
        <w:tc>
          <w:tcPr>
            <w:tcW w:w="651" w:type="dxa"/>
            <w:tcBorders>
              <w:top w:val="nil"/>
              <w:left w:val="nil"/>
              <w:bottom w:val="single" w:color="auto" w:sz="4" w:space="0"/>
              <w:right w:val="single" w:color="auto" w:sz="4" w:space="0"/>
            </w:tcBorders>
            <w:vAlign w:val="center"/>
          </w:tcPr>
          <w:p w14:paraId="690431A8">
            <w:pPr>
              <w:adjustRightInd w:val="0"/>
              <w:snapToGrid w:val="0"/>
              <w:jc w:val="center"/>
              <w:rPr>
                <w:rFonts w:ascii="宋体" w:hAnsi="宋体" w:eastAsia="宋体"/>
                <w:sz w:val="18"/>
                <w:szCs w:val="18"/>
              </w:rPr>
            </w:pPr>
          </w:p>
        </w:tc>
        <w:tc>
          <w:tcPr>
            <w:tcW w:w="624" w:type="dxa"/>
            <w:tcBorders>
              <w:top w:val="nil"/>
              <w:left w:val="nil"/>
              <w:bottom w:val="single" w:color="auto" w:sz="4" w:space="0"/>
              <w:right w:val="single" w:color="auto" w:sz="4" w:space="0"/>
            </w:tcBorders>
            <w:vAlign w:val="center"/>
          </w:tcPr>
          <w:p w14:paraId="3A1A785B">
            <w:pPr>
              <w:adjustRightInd w:val="0"/>
              <w:snapToGrid w:val="0"/>
              <w:jc w:val="center"/>
              <w:rPr>
                <w:rFonts w:ascii="宋体" w:hAnsi="宋体" w:eastAsia="宋体"/>
                <w:sz w:val="18"/>
                <w:szCs w:val="18"/>
              </w:rPr>
            </w:pPr>
            <w:r>
              <w:rPr>
                <w:rFonts w:hint="eastAsia" w:ascii="宋体" w:hAnsi="宋体" w:eastAsia="宋体"/>
                <w:sz w:val="18"/>
                <w:szCs w:val="18"/>
              </w:rPr>
              <w:t>2</w:t>
            </w:r>
          </w:p>
        </w:tc>
        <w:tc>
          <w:tcPr>
            <w:tcW w:w="709" w:type="dxa"/>
            <w:tcBorders>
              <w:top w:val="nil"/>
              <w:left w:val="nil"/>
              <w:bottom w:val="single" w:color="auto" w:sz="4" w:space="0"/>
              <w:right w:val="single" w:color="auto" w:sz="4" w:space="0"/>
            </w:tcBorders>
            <w:vAlign w:val="center"/>
          </w:tcPr>
          <w:p w14:paraId="1484BC56">
            <w:pPr>
              <w:adjustRightInd w:val="0"/>
              <w:snapToGrid w:val="0"/>
              <w:jc w:val="center"/>
              <w:rPr>
                <w:rFonts w:ascii="宋体" w:hAnsi="宋体" w:eastAsia="宋体"/>
                <w:sz w:val="18"/>
                <w:szCs w:val="18"/>
              </w:rPr>
            </w:pPr>
          </w:p>
        </w:tc>
        <w:tc>
          <w:tcPr>
            <w:tcW w:w="567" w:type="dxa"/>
            <w:tcBorders>
              <w:top w:val="nil"/>
              <w:left w:val="nil"/>
              <w:bottom w:val="single" w:color="auto" w:sz="4" w:space="0"/>
              <w:right w:val="single" w:color="auto" w:sz="4" w:space="0"/>
            </w:tcBorders>
            <w:vAlign w:val="center"/>
          </w:tcPr>
          <w:p w14:paraId="40E4CB90">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660DB80">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7AE403E5">
            <w:pPr>
              <w:widowControl/>
              <w:jc w:val="center"/>
              <w:rPr>
                <w:rFonts w:ascii="宋体" w:hAnsi="宋体" w:eastAsia="宋体" w:cs="宋体"/>
                <w:kern w:val="0"/>
                <w:sz w:val="18"/>
                <w:szCs w:val="18"/>
              </w:rPr>
            </w:pPr>
          </w:p>
        </w:tc>
      </w:tr>
      <w:tr w14:paraId="483A3857">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09509C0">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7FD791A2">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2233DDBB">
            <w:pPr>
              <w:adjustRightInd w:val="0"/>
              <w:snapToGrid w:val="0"/>
              <w:jc w:val="center"/>
              <w:rPr>
                <w:rFonts w:ascii="宋体" w:hAnsi="宋体" w:eastAsia="宋体"/>
                <w:sz w:val="18"/>
                <w:szCs w:val="18"/>
              </w:rPr>
            </w:pPr>
            <w:r>
              <w:rPr>
                <w:rFonts w:hint="eastAsia" w:ascii="宋体" w:hAnsi="宋体" w:eastAsia="宋体"/>
                <w:sz w:val="18"/>
                <w:szCs w:val="18"/>
              </w:rPr>
              <w:t>1721002</w:t>
            </w:r>
          </w:p>
        </w:tc>
        <w:tc>
          <w:tcPr>
            <w:tcW w:w="1859" w:type="dxa"/>
            <w:gridSpan w:val="2"/>
            <w:tcBorders>
              <w:top w:val="nil"/>
              <w:left w:val="single" w:color="auto" w:sz="4" w:space="0"/>
              <w:bottom w:val="single" w:color="auto" w:sz="4" w:space="0"/>
              <w:right w:val="single" w:color="auto" w:sz="4" w:space="0"/>
            </w:tcBorders>
            <w:vAlign w:val="center"/>
          </w:tcPr>
          <w:p w14:paraId="219D5E27">
            <w:pPr>
              <w:adjustRightInd w:val="0"/>
              <w:snapToGrid w:val="0"/>
              <w:jc w:val="center"/>
              <w:rPr>
                <w:rFonts w:ascii="宋体" w:hAnsi="宋体" w:eastAsia="宋体"/>
                <w:sz w:val="18"/>
                <w:szCs w:val="18"/>
              </w:rPr>
            </w:pPr>
            <w:r>
              <w:rPr>
                <w:rFonts w:hint="eastAsia" w:ascii="宋体" w:hAnsi="宋体" w:eastAsia="宋体"/>
                <w:sz w:val="18"/>
                <w:szCs w:val="18"/>
              </w:rPr>
              <w:t>场景化企业经营模拟</w:t>
            </w:r>
          </w:p>
        </w:tc>
        <w:tc>
          <w:tcPr>
            <w:tcW w:w="731" w:type="dxa"/>
            <w:tcBorders>
              <w:top w:val="nil"/>
              <w:left w:val="nil"/>
              <w:bottom w:val="single" w:color="auto" w:sz="4" w:space="0"/>
              <w:right w:val="single" w:color="auto" w:sz="4" w:space="0"/>
            </w:tcBorders>
            <w:vAlign w:val="center"/>
          </w:tcPr>
          <w:p w14:paraId="06124DC0">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4CE88789">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7CCFEF2B">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44C5E197">
            <w:pPr>
              <w:widowControl/>
              <w:jc w:val="center"/>
              <w:rPr>
                <w:rFonts w:ascii="宋体" w:hAnsi="宋体" w:eastAsia="宋体" w:cs="宋体"/>
                <w:kern w:val="0"/>
                <w:sz w:val="18"/>
                <w:szCs w:val="18"/>
              </w:rPr>
            </w:pPr>
          </w:p>
        </w:tc>
        <w:tc>
          <w:tcPr>
            <w:tcW w:w="651" w:type="dxa"/>
            <w:vMerge w:val="restart"/>
            <w:tcBorders>
              <w:top w:val="nil"/>
              <w:left w:val="nil"/>
              <w:right w:val="single" w:color="auto" w:sz="4" w:space="0"/>
            </w:tcBorders>
            <w:vAlign w:val="center"/>
          </w:tcPr>
          <w:p w14:paraId="15B002BA">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624" w:type="dxa"/>
            <w:vMerge w:val="restart"/>
            <w:tcBorders>
              <w:top w:val="nil"/>
              <w:left w:val="nil"/>
              <w:right w:val="single" w:color="auto" w:sz="4" w:space="0"/>
            </w:tcBorders>
            <w:vAlign w:val="center"/>
          </w:tcPr>
          <w:p w14:paraId="2A33635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vMerge w:val="restart"/>
            <w:tcBorders>
              <w:top w:val="nil"/>
              <w:left w:val="nil"/>
              <w:right w:val="single" w:color="auto" w:sz="4" w:space="0"/>
            </w:tcBorders>
            <w:vAlign w:val="center"/>
          </w:tcPr>
          <w:p w14:paraId="2B7A6569">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2</w:t>
            </w:r>
          </w:p>
        </w:tc>
        <w:tc>
          <w:tcPr>
            <w:tcW w:w="567" w:type="dxa"/>
            <w:tcBorders>
              <w:top w:val="nil"/>
              <w:left w:val="nil"/>
              <w:bottom w:val="single" w:color="auto" w:sz="4" w:space="0"/>
              <w:right w:val="single" w:color="auto" w:sz="4" w:space="0"/>
            </w:tcBorders>
            <w:vAlign w:val="center"/>
          </w:tcPr>
          <w:p w14:paraId="0ABDB9D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55B95C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2089324">
            <w:pPr>
              <w:widowControl/>
              <w:jc w:val="center"/>
              <w:rPr>
                <w:rFonts w:ascii="宋体" w:hAnsi="宋体" w:eastAsia="宋体" w:cs="宋体"/>
                <w:kern w:val="0"/>
                <w:sz w:val="18"/>
                <w:szCs w:val="18"/>
              </w:rPr>
            </w:pPr>
          </w:p>
        </w:tc>
      </w:tr>
      <w:tr w14:paraId="48AFF486">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E793982">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77C3AEC7">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0E554094">
            <w:pPr>
              <w:adjustRightInd w:val="0"/>
              <w:snapToGrid w:val="0"/>
              <w:jc w:val="center"/>
              <w:rPr>
                <w:rFonts w:ascii="宋体" w:hAnsi="宋体" w:eastAsia="宋体"/>
                <w:sz w:val="18"/>
                <w:szCs w:val="18"/>
              </w:rPr>
            </w:pPr>
            <w:r>
              <w:rPr>
                <w:rFonts w:hint="eastAsia" w:ascii="宋体" w:hAnsi="宋体" w:eastAsia="宋体"/>
                <w:sz w:val="18"/>
                <w:szCs w:val="18"/>
              </w:rPr>
              <w:t>1721003</w:t>
            </w:r>
          </w:p>
        </w:tc>
        <w:tc>
          <w:tcPr>
            <w:tcW w:w="1859" w:type="dxa"/>
            <w:gridSpan w:val="2"/>
            <w:tcBorders>
              <w:top w:val="nil"/>
              <w:left w:val="single" w:color="auto" w:sz="4" w:space="0"/>
              <w:bottom w:val="single" w:color="auto" w:sz="4" w:space="0"/>
              <w:right w:val="single" w:color="auto" w:sz="4" w:space="0"/>
            </w:tcBorders>
            <w:vAlign w:val="center"/>
          </w:tcPr>
          <w:p w14:paraId="472EDED6">
            <w:pPr>
              <w:adjustRightInd w:val="0"/>
              <w:snapToGrid w:val="0"/>
              <w:jc w:val="center"/>
              <w:rPr>
                <w:rFonts w:ascii="宋体" w:hAnsi="宋体" w:eastAsia="宋体"/>
                <w:sz w:val="18"/>
                <w:szCs w:val="18"/>
              </w:rPr>
            </w:pPr>
            <w:r>
              <w:rPr>
                <w:rFonts w:hint="eastAsia" w:ascii="宋体" w:hAnsi="宋体" w:eastAsia="宋体"/>
                <w:sz w:val="18"/>
                <w:szCs w:val="18"/>
              </w:rPr>
              <w:t>财经法规与会计职业道德</w:t>
            </w:r>
          </w:p>
        </w:tc>
        <w:tc>
          <w:tcPr>
            <w:tcW w:w="731" w:type="dxa"/>
            <w:tcBorders>
              <w:top w:val="nil"/>
              <w:left w:val="nil"/>
              <w:bottom w:val="single" w:color="auto" w:sz="4" w:space="0"/>
              <w:right w:val="single" w:color="auto" w:sz="4" w:space="0"/>
            </w:tcBorders>
            <w:vAlign w:val="center"/>
          </w:tcPr>
          <w:p w14:paraId="494D204E">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770C1A25">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CFE3F3D">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7AB259B4">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2FC98ECA">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6153E520">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606E775C">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44FE90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CCA4B5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BA52FFC">
            <w:pPr>
              <w:widowControl/>
              <w:jc w:val="center"/>
              <w:rPr>
                <w:rFonts w:ascii="宋体" w:hAnsi="宋体" w:eastAsia="宋体" w:cs="宋体"/>
                <w:kern w:val="0"/>
                <w:sz w:val="18"/>
                <w:szCs w:val="18"/>
              </w:rPr>
            </w:pPr>
          </w:p>
        </w:tc>
      </w:tr>
      <w:tr w14:paraId="62E14B5D">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7A3750E0">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46FE2FD0">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138B5C2C">
            <w:pPr>
              <w:adjustRightInd w:val="0"/>
              <w:snapToGrid w:val="0"/>
              <w:jc w:val="center"/>
              <w:rPr>
                <w:rFonts w:ascii="宋体" w:hAnsi="宋体" w:eastAsia="宋体"/>
                <w:sz w:val="18"/>
                <w:szCs w:val="18"/>
              </w:rPr>
            </w:pPr>
            <w:r>
              <w:rPr>
                <w:rFonts w:hint="eastAsia" w:ascii="宋体" w:hAnsi="宋体" w:eastAsia="宋体"/>
                <w:sz w:val="18"/>
                <w:szCs w:val="18"/>
              </w:rPr>
              <w:t>1721004</w:t>
            </w:r>
          </w:p>
        </w:tc>
        <w:tc>
          <w:tcPr>
            <w:tcW w:w="1859" w:type="dxa"/>
            <w:gridSpan w:val="2"/>
            <w:tcBorders>
              <w:top w:val="nil"/>
              <w:left w:val="single" w:color="auto" w:sz="4" w:space="0"/>
              <w:bottom w:val="single" w:color="auto" w:sz="4" w:space="0"/>
              <w:right w:val="single" w:color="auto" w:sz="4" w:space="0"/>
            </w:tcBorders>
            <w:vAlign w:val="center"/>
          </w:tcPr>
          <w:p w14:paraId="646E03A0">
            <w:pPr>
              <w:adjustRightInd w:val="0"/>
              <w:snapToGrid w:val="0"/>
              <w:jc w:val="center"/>
              <w:rPr>
                <w:rFonts w:ascii="宋体" w:hAnsi="宋体" w:eastAsia="宋体"/>
                <w:sz w:val="18"/>
                <w:szCs w:val="18"/>
              </w:rPr>
            </w:pPr>
            <w:r>
              <w:rPr>
                <w:rFonts w:hint="eastAsia" w:ascii="宋体" w:hAnsi="宋体" w:eastAsia="宋体"/>
                <w:sz w:val="18"/>
                <w:szCs w:val="18"/>
              </w:rPr>
              <w:t>大数据应用基础</w:t>
            </w:r>
          </w:p>
        </w:tc>
        <w:tc>
          <w:tcPr>
            <w:tcW w:w="731" w:type="dxa"/>
            <w:tcBorders>
              <w:top w:val="nil"/>
              <w:left w:val="nil"/>
              <w:bottom w:val="single" w:color="auto" w:sz="4" w:space="0"/>
              <w:right w:val="single" w:color="auto" w:sz="4" w:space="0"/>
            </w:tcBorders>
            <w:vAlign w:val="center"/>
          </w:tcPr>
          <w:p w14:paraId="45C51796">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1731C7F0">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5338DAC6">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2CD333A9">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4F323394">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497735EA">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460B93A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8BF605B">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B7C2B9B">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7F64E86C">
            <w:pPr>
              <w:widowControl/>
              <w:jc w:val="center"/>
              <w:rPr>
                <w:rFonts w:ascii="宋体" w:hAnsi="宋体" w:eastAsia="宋体" w:cs="宋体"/>
                <w:kern w:val="0"/>
                <w:sz w:val="18"/>
                <w:szCs w:val="18"/>
              </w:rPr>
            </w:pPr>
          </w:p>
        </w:tc>
      </w:tr>
      <w:tr w14:paraId="14E49AF2">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42AE397E">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63F7E843">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213C6ECB">
            <w:pPr>
              <w:adjustRightInd w:val="0"/>
              <w:snapToGrid w:val="0"/>
              <w:jc w:val="center"/>
              <w:rPr>
                <w:rFonts w:ascii="宋体" w:hAnsi="宋体" w:eastAsia="宋体"/>
                <w:sz w:val="18"/>
                <w:szCs w:val="18"/>
              </w:rPr>
            </w:pPr>
            <w:r>
              <w:rPr>
                <w:rFonts w:hint="eastAsia" w:ascii="宋体" w:hAnsi="宋体" w:eastAsia="宋体"/>
                <w:sz w:val="18"/>
                <w:szCs w:val="18"/>
              </w:rPr>
              <w:t>1721005</w:t>
            </w:r>
          </w:p>
        </w:tc>
        <w:tc>
          <w:tcPr>
            <w:tcW w:w="1859" w:type="dxa"/>
            <w:gridSpan w:val="2"/>
            <w:tcBorders>
              <w:top w:val="nil"/>
              <w:left w:val="single" w:color="auto" w:sz="4" w:space="0"/>
              <w:bottom w:val="single" w:color="auto" w:sz="4" w:space="0"/>
              <w:right w:val="single" w:color="auto" w:sz="4" w:space="0"/>
            </w:tcBorders>
            <w:vAlign w:val="center"/>
          </w:tcPr>
          <w:p w14:paraId="59FBBE55">
            <w:pPr>
              <w:adjustRightInd w:val="0"/>
              <w:snapToGrid w:val="0"/>
              <w:jc w:val="center"/>
              <w:rPr>
                <w:rFonts w:ascii="宋体" w:hAnsi="宋体" w:eastAsia="宋体"/>
                <w:sz w:val="18"/>
                <w:szCs w:val="18"/>
              </w:rPr>
            </w:pPr>
            <w:r>
              <w:rPr>
                <w:rFonts w:hint="eastAsia" w:ascii="宋体" w:hAnsi="宋体" w:eastAsia="宋体"/>
                <w:sz w:val="18"/>
                <w:szCs w:val="18"/>
              </w:rPr>
              <w:t>统计技术应用</w:t>
            </w:r>
          </w:p>
        </w:tc>
        <w:tc>
          <w:tcPr>
            <w:tcW w:w="731" w:type="dxa"/>
            <w:tcBorders>
              <w:top w:val="nil"/>
              <w:left w:val="nil"/>
              <w:bottom w:val="single" w:color="auto" w:sz="4" w:space="0"/>
              <w:right w:val="single" w:color="auto" w:sz="4" w:space="0"/>
            </w:tcBorders>
            <w:vAlign w:val="center"/>
          </w:tcPr>
          <w:p w14:paraId="46221E05">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316AF9CF">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1C15E847">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6E73050D">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57C35436">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13B6849C">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76EF032D">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94C7D0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7C41DD8">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CF981E1">
            <w:pPr>
              <w:widowControl/>
              <w:jc w:val="center"/>
              <w:rPr>
                <w:rFonts w:ascii="宋体" w:hAnsi="宋体" w:eastAsia="宋体" w:cs="宋体"/>
                <w:kern w:val="0"/>
                <w:sz w:val="18"/>
                <w:szCs w:val="18"/>
              </w:rPr>
            </w:pPr>
          </w:p>
        </w:tc>
      </w:tr>
      <w:tr w14:paraId="404AE9D4">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0F48745">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557AA774">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24FAA190">
            <w:pPr>
              <w:adjustRightInd w:val="0"/>
              <w:snapToGrid w:val="0"/>
              <w:jc w:val="center"/>
              <w:rPr>
                <w:rFonts w:ascii="宋体" w:hAnsi="宋体" w:eastAsia="宋体"/>
                <w:sz w:val="18"/>
                <w:szCs w:val="18"/>
              </w:rPr>
            </w:pPr>
            <w:r>
              <w:rPr>
                <w:rFonts w:hint="eastAsia" w:ascii="宋体" w:hAnsi="宋体" w:eastAsia="宋体"/>
                <w:sz w:val="18"/>
                <w:szCs w:val="18"/>
              </w:rPr>
              <w:t>1721006</w:t>
            </w:r>
          </w:p>
        </w:tc>
        <w:tc>
          <w:tcPr>
            <w:tcW w:w="1859" w:type="dxa"/>
            <w:gridSpan w:val="2"/>
            <w:tcBorders>
              <w:top w:val="nil"/>
              <w:left w:val="single" w:color="auto" w:sz="4" w:space="0"/>
              <w:bottom w:val="single" w:color="auto" w:sz="4" w:space="0"/>
              <w:right w:val="single" w:color="auto" w:sz="4" w:space="0"/>
            </w:tcBorders>
            <w:vAlign w:val="center"/>
          </w:tcPr>
          <w:p w14:paraId="59E0F780">
            <w:pPr>
              <w:adjustRightInd w:val="0"/>
              <w:snapToGrid w:val="0"/>
              <w:jc w:val="center"/>
              <w:rPr>
                <w:rFonts w:ascii="宋体" w:hAnsi="宋体" w:eastAsia="宋体"/>
                <w:sz w:val="18"/>
                <w:szCs w:val="18"/>
              </w:rPr>
            </w:pPr>
            <w:r>
              <w:rPr>
                <w:rFonts w:hint="eastAsia" w:ascii="宋体" w:hAnsi="宋体" w:eastAsia="宋体"/>
                <w:sz w:val="18"/>
                <w:szCs w:val="18"/>
              </w:rPr>
              <w:t>财经文员事务</w:t>
            </w:r>
          </w:p>
        </w:tc>
        <w:tc>
          <w:tcPr>
            <w:tcW w:w="731" w:type="dxa"/>
            <w:tcBorders>
              <w:top w:val="nil"/>
              <w:left w:val="nil"/>
              <w:bottom w:val="single" w:color="auto" w:sz="4" w:space="0"/>
              <w:right w:val="single" w:color="auto" w:sz="4" w:space="0"/>
            </w:tcBorders>
            <w:vAlign w:val="center"/>
          </w:tcPr>
          <w:p w14:paraId="22D3874D">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06C3B903">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68EEF7AE">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2109910B">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450B664F">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0E4F60C1">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7D09A326">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6C10E57">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A350725">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E737B5C">
            <w:pPr>
              <w:widowControl/>
              <w:jc w:val="center"/>
              <w:rPr>
                <w:rFonts w:ascii="宋体" w:hAnsi="宋体" w:eastAsia="宋体" w:cs="宋体"/>
                <w:kern w:val="0"/>
                <w:sz w:val="18"/>
                <w:szCs w:val="18"/>
              </w:rPr>
            </w:pPr>
          </w:p>
        </w:tc>
      </w:tr>
      <w:tr w14:paraId="22524C08">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5869832">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07880306">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1B8FB7AC">
            <w:pPr>
              <w:adjustRightInd w:val="0"/>
              <w:snapToGrid w:val="0"/>
              <w:jc w:val="center"/>
              <w:rPr>
                <w:rFonts w:ascii="宋体" w:hAnsi="宋体" w:eastAsia="宋体"/>
                <w:sz w:val="18"/>
                <w:szCs w:val="18"/>
              </w:rPr>
            </w:pPr>
            <w:r>
              <w:rPr>
                <w:rFonts w:hint="eastAsia" w:ascii="宋体" w:hAnsi="宋体" w:eastAsia="宋体"/>
                <w:sz w:val="18"/>
                <w:szCs w:val="18"/>
              </w:rPr>
              <w:t>1721007</w:t>
            </w:r>
          </w:p>
        </w:tc>
        <w:tc>
          <w:tcPr>
            <w:tcW w:w="1859" w:type="dxa"/>
            <w:gridSpan w:val="2"/>
            <w:tcBorders>
              <w:top w:val="nil"/>
              <w:left w:val="single" w:color="auto" w:sz="4" w:space="0"/>
              <w:bottom w:val="single" w:color="auto" w:sz="4" w:space="0"/>
              <w:right w:val="single" w:color="auto" w:sz="4" w:space="0"/>
            </w:tcBorders>
            <w:vAlign w:val="center"/>
          </w:tcPr>
          <w:p w14:paraId="37C42825">
            <w:pPr>
              <w:adjustRightInd w:val="0"/>
              <w:snapToGrid w:val="0"/>
              <w:jc w:val="center"/>
              <w:rPr>
                <w:rFonts w:ascii="宋体" w:hAnsi="宋体" w:eastAsia="宋体"/>
                <w:sz w:val="18"/>
                <w:szCs w:val="18"/>
              </w:rPr>
            </w:pPr>
            <w:r>
              <w:rPr>
                <w:rFonts w:hint="eastAsia" w:ascii="宋体" w:hAnsi="宋体" w:eastAsia="宋体"/>
                <w:sz w:val="18"/>
                <w:szCs w:val="18"/>
              </w:rPr>
              <w:t>出纳实务</w:t>
            </w:r>
          </w:p>
        </w:tc>
        <w:tc>
          <w:tcPr>
            <w:tcW w:w="731" w:type="dxa"/>
            <w:tcBorders>
              <w:top w:val="nil"/>
              <w:left w:val="nil"/>
              <w:bottom w:val="single" w:color="auto" w:sz="4" w:space="0"/>
              <w:right w:val="single" w:color="auto" w:sz="4" w:space="0"/>
            </w:tcBorders>
            <w:vAlign w:val="center"/>
          </w:tcPr>
          <w:p w14:paraId="5BDABB8C">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30C08B1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062142C3">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676DEF55">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04C1E37B">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0C8186D0">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5C0D27F9">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FC235F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6132829">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084B2B6">
            <w:pPr>
              <w:widowControl/>
              <w:jc w:val="center"/>
              <w:rPr>
                <w:rFonts w:ascii="宋体" w:hAnsi="宋体" w:eastAsia="宋体" w:cs="宋体"/>
                <w:kern w:val="0"/>
                <w:sz w:val="18"/>
                <w:szCs w:val="18"/>
              </w:rPr>
            </w:pPr>
          </w:p>
        </w:tc>
      </w:tr>
      <w:tr w14:paraId="7577A0DC">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94D18CA">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37E8DAEE">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4591B502">
            <w:pPr>
              <w:adjustRightInd w:val="0"/>
              <w:snapToGrid w:val="0"/>
              <w:jc w:val="center"/>
              <w:rPr>
                <w:rFonts w:ascii="宋体" w:hAnsi="宋体" w:eastAsia="宋体"/>
                <w:sz w:val="18"/>
                <w:szCs w:val="18"/>
              </w:rPr>
            </w:pPr>
            <w:r>
              <w:rPr>
                <w:rFonts w:hint="eastAsia" w:ascii="宋体" w:hAnsi="宋体" w:eastAsia="宋体"/>
                <w:sz w:val="18"/>
                <w:szCs w:val="18"/>
              </w:rPr>
              <w:t>1721008</w:t>
            </w:r>
          </w:p>
        </w:tc>
        <w:tc>
          <w:tcPr>
            <w:tcW w:w="1859" w:type="dxa"/>
            <w:gridSpan w:val="2"/>
            <w:tcBorders>
              <w:top w:val="nil"/>
              <w:left w:val="single" w:color="auto" w:sz="4" w:space="0"/>
              <w:bottom w:val="single" w:color="auto" w:sz="4" w:space="0"/>
              <w:right w:val="single" w:color="auto" w:sz="4" w:space="0"/>
            </w:tcBorders>
            <w:vAlign w:val="center"/>
          </w:tcPr>
          <w:p w14:paraId="1052B75F">
            <w:pPr>
              <w:adjustRightInd w:val="0"/>
              <w:snapToGrid w:val="0"/>
              <w:jc w:val="center"/>
              <w:rPr>
                <w:rFonts w:ascii="宋体" w:hAnsi="宋体" w:eastAsia="宋体"/>
                <w:sz w:val="18"/>
                <w:szCs w:val="18"/>
              </w:rPr>
            </w:pPr>
            <w:r>
              <w:rPr>
                <w:rFonts w:hint="eastAsia" w:ascii="宋体" w:hAnsi="宋体" w:eastAsia="宋体"/>
                <w:sz w:val="18"/>
                <w:szCs w:val="18"/>
              </w:rPr>
              <w:t>成本会计</w:t>
            </w:r>
          </w:p>
        </w:tc>
        <w:tc>
          <w:tcPr>
            <w:tcW w:w="731" w:type="dxa"/>
            <w:tcBorders>
              <w:top w:val="nil"/>
              <w:left w:val="nil"/>
              <w:bottom w:val="single" w:color="auto" w:sz="4" w:space="0"/>
              <w:right w:val="single" w:color="auto" w:sz="4" w:space="0"/>
            </w:tcBorders>
            <w:vAlign w:val="center"/>
          </w:tcPr>
          <w:p w14:paraId="07A4FB28">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7A93275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3E95CD92">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5EC06F4E">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26E400C2">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068F9EE9">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3D38C8A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843046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2BD33B7">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04210BCD">
            <w:pPr>
              <w:widowControl/>
              <w:jc w:val="center"/>
              <w:rPr>
                <w:rFonts w:ascii="宋体" w:hAnsi="宋体" w:eastAsia="宋体" w:cs="宋体"/>
                <w:kern w:val="0"/>
                <w:sz w:val="18"/>
                <w:szCs w:val="18"/>
              </w:rPr>
            </w:pPr>
          </w:p>
        </w:tc>
      </w:tr>
      <w:tr w14:paraId="5EF71C63">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6E818023">
            <w:pPr>
              <w:widowControl/>
              <w:jc w:val="center"/>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407D66B5">
            <w:pPr>
              <w:widowControl/>
              <w:jc w:val="center"/>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3755B80E">
            <w:pPr>
              <w:adjustRightInd w:val="0"/>
              <w:snapToGrid w:val="0"/>
              <w:jc w:val="center"/>
              <w:rPr>
                <w:rFonts w:ascii="宋体" w:hAnsi="宋体" w:eastAsia="宋体"/>
                <w:sz w:val="18"/>
                <w:szCs w:val="18"/>
              </w:rPr>
            </w:pPr>
            <w:r>
              <w:rPr>
                <w:rFonts w:hint="eastAsia" w:ascii="宋体" w:hAnsi="宋体" w:eastAsia="宋体"/>
                <w:sz w:val="18"/>
                <w:szCs w:val="18"/>
              </w:rPr>
              <w:t>1721009</w:t>
            </w:r>
          </w:p>
        </w:tc>
        <w:tc>
          <w:tcPr>
            <w:tcW w:w="1859" w:type="dxa"/>
            <w:gridSpan w:val="2"/>
            <w:tcBorders>
              <w:top w:val="nil"/>
              <w:left w:val="single" w:color="auto" w:sz="4" w:space="0"/>
              <w:bottom w:val="single" w:color="auto" w:sz="4" w:space="0"/>
              <w:right w:val="single" w:color="auto" w:sz="4" w:space="0"/>
            </w:tcBorders>
            <w:vAlign w:val="center"/>
          </w:tcPr>
          <w:p w14:paraId="16DBCF77">
            <w:pPr>
              <w:adjustRightInd w:val="0"/>
              <w:snapToGrid w:val="0"/>
              <w:jc w:val="center"/>
              <w:rPr>
                <w:rFonts w:ascii="宋体" w:hAnsi="宋体" w:eastAsia="宋体"/>
                <w:sz w:val="18"/>
                <w:szCs w:val="18"/>
              </w:rPr>
            </w:pPr>
            <w:r>
              <w:rPr>
                <w:rFonts w:hint="eastAsia" w:ascii="宋体" w:hAnsi="宋体" w:eastAsia="宋体"/>
                <w:sz w:val="18"/>
                <w:szCs w:val="18"/>
              </w:rPr>
              <w:t>财务机器人应用</w:t>
            </w:r>
          </w:p>
        </w:tc>
        <w:tc>
          <w:tcPr>
            <w:tcW w:w="731" w:type="dxa"/>
            <w:tcBorders>
              <w:top w:val="nil"/>
              <w:left w:val="nil"/>
              <w:bottom w:val="single" w:color="auto" w:sz="4" w:space="0"/>
              <w:right w:val="single" w:color="auto" w:sz="4" w:space="0"/>
            </w:tcBorders>
            <w:vAlign w:val="center"/>
          </w:tcPr>
          <w:p w14:paraId="773A7E63">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7E0F0D47">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7EB74547">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28DF84FC">
            <w:pPr>
              <w:widowControl/>
              <w:jc w:val="center"/>
              <w:rPr>
                <w:rFonts w:ascii="宋体" w:hAnsi="宋体" w:eastAsia="宋体" w:cs="宋体"/>
                <w:kern w:val="0"/>
                <w:sz w:val="18"/>
                <w:szCs w:val="18"/>
              </w:rPr>
            </w:pPr>
          </w:p>
        </w:tc>
        <w:tc>
          <w:tcPr>
            <w:tcW w:w="651" w:type="dxa"/>
            <w:vMerge w:val="continue"/>
            <w:tcBorders>
              <w:left w:val="nil"/>
              <w:right w:val="single" w:color="auto" w:sz="4" w:space="0"/>
            </w:tcBorders>
            <w:vAlign w:val="center"/>
          </w:tcPr>
          <w:p w14:paraId="3BE20D27">
            <w:pPr>
              <w:widowControl/>
              <w:jc w:val="center"/>
              <w:rPr>
                <w:rFonts w:ascii="宋体" w:hAnsi="宋体" w:eastAsia="宋体" w:cs="宋体"/>
                <w:kern w:val="0"/>
                <w:sz w:val="18"/>
                <w:szCs w:val="18"/>
              </w:rPr>
            </w:pPr>
          </w:p>
        </w:tc>
        <w:tc>
          <w:tcPr>
            <w:tcW w:w="624" w:type="dxa"/>
            <w:vMerge w:val="continue"/>
            <w:tcBorders>
              <w:left w:val="nil"/>
              <w:right w:val="single" w:color="auto" w:sz="4" w:space="0"/>
            </w:tcBorders>
            <w:vAlign w:val="center"/>
          </w:tcPr>
          <w:p w14:paraId="116E03EA">
            <w:pPr>
              <w:widowControl/>
              <w:jc w:val="center"/>
              <w:rPr>
                <w:rFonts w:ascii="宋体" w:hAnsi="宋体" w:eastAsia="宋体" w:cs="宋体"/>
                <w:kern w:val="0"/>
                <w:sz w:val="18"/>
                <w:szCs w:val="18"/>
              </w:rPr>
            </w:pPr>
          </w:p>
        </w:tc>
        <w:tc>
          <w:tcPr>
            <w:tcW w:w="709" w:type="dxa"/>
            <w:vMerge w:val="continue"/>
            <w:tcBorders>
              <w:left w:val="nil"/>
              <w:right w:val="single" w:color="auto" w:sz="4" w:space="0"/>
            </w:tcBorders>
            <w:vAlign w:val="center"/>
          </w:tcPr>
          <w:p w14:paraId="779A5B3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A5A429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9E6C577">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46CCCBA">
            <w:pPr>
              <w:widowControl/>
              <w:jc w:val="center"/>
              <w:rPr>
                <w:rFonts w:ascii="宋体" w:hAnsi="宋体" w:eastAsia="宋体" w:cs="宋体"/>
                <w:kern w:val="0"/>
                <w:sz w:val="18"/>
                <w:szCs w:val="18"/>
              </w:rPr>
            </w:pPr>
          </w:p>
        </w:tc>
      </w:tr>
      <w:tr w14:paraId="263ADC05">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4A0BBCEA">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000000" w:sz="4" w:space="0"/>
              <w:right w:val="nil"/>
            </w:tcBorders>
            <w:vAlign w:val="center"/>
          </w:tcPr>
          <w:p w14:paraId="4A2F811B">
            <w:pPr>
              <w:widowControl/>
              <w:jc w:val="left"/>
              <w:rPr>
                <w:rFonts w:ascii="宋体" w:hAnsi="宋体" w:eastAsia="宋体" w:cs="宋体"/>
                <w:kern w:val="0"/>
                <w:sz w:val="18"/>
                <w:szCs w:val="18"/>
              </w:rPr>
            </w:pPr>
          </w:p>
        </w:tc>
        <w:tc>
          <w:tcPr>
            <w:tcW w:w="1134" w:type="dxa"/>
            <w:tcBorders>
              <w:top w:val="nil"/>
              <w:left w:val="single" w:color="auto" w:sz="4" w:space="0"/>
              <w:bottom w:val="single" w:color="auto" w:sz="4" w:space="0"/>
              <w:right w:val="nil"/>
            </w:tcBorders>
            <w:vAlign w:val="center"/>
          </w:tcPr>
          <w:p w14:paraId="35141109">
            <w:pPr>
              <w:adjustRightInd w:val="0"/>
              <w:snapToGrid w:val="0"/>
              <w:jc w:val="center"/>
              <w:rPr>
                <w:rFonts w:ascii="宋体" w:hAnsi="宋体" w:eastAsia="宋体"/>
                <w:sz w:val="18"/>
                <w:szCs w:val="18"/>
              </w:rPr>
            </w:pPr>
            <w:r>
              <w:rPr>
                <w:rFonts w:hint="eastAsia" w:ascii="宋体" w:hAnsi="宋体" w:eastAsia="宋体"/>
                <w:sz w:val="18"/>
                <w:szCs w:val="18"/>
              </w:rPr>
              <w:t>1721010</w:t>
            </w:r>
          </w:p>
        </w:tc>
        <w:tc>
          <w:tcPr>
            <w:tcW w:w="1859" w:type="dxa"/>
            <w:gridSpan w:val="2"/>
            <w:tcBorders>
              <w:top w:val="nil"/>
              <w:left w:val="single" w:color="auto" w:sz="4" w:space="0"/>
              <w:bottom w:val="single" w:color="auto" w:sz="4" w:space="0"/>
              <w:right w:val="single" w:color="auto" w:sz="4" w:space="0"/>
            </w:tcBorders>
            <w:vAlign w:val="center"/>
          </w:tcPr>
          <w:p w14:paraId="248B863B">
            <w:pPr>
              <w:adjustRightInd w:val="0"/>
              <w:snapToGrid w:val="0"/>
              <w:jc w:val="center"/>
              <w:rPr>
                <w:rFonts w:ascii="宋体" w:hAnsi="宋体" w:eastAsia="宋体"/>
                <w:sz w:val="18"/>
                <w:szCs w:val="18"/>
              </w:rPr>
            </w:pPr>
            <w:r>
              <w:rPr>
                <w:rFonts w:hint="eastAsia" w:ascii="宋体" w:hAnsi="宋体" w:eastAsia="宋体"/>
                <w:sz w:val="18"/>
                <w:szCs w:val="18"/>
              </w:rPr>
              <w:t>企业购销存业务与管理</w:t>
            </w:r>
          </w:p>
        </w:tc>
        <w:tc>
          <w:tcPr>
            <w:tcW w:w="731" w:type="dxa"/>
            <w:tcBorders>
              <w:top w:val="nil"/>
              <w:left w:val="nil"/>
              <w:bottom w:val="single" w:color="auto" w:sz="4" w:space="0"/>
              <w:right w:val="single" w:color="auto" w:sz="4" w:space="0"/>
            </w:tcBorders>
            <w:vAlign w:val="center"/>
          </w:tcPr>
          <w:p w14:paraId="2F6C3518">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13" w:type="dxa"/>
            <w:tcBorders>
              <w:top w:val="nil"/>
              <w:left w:val="nil"/>
              <w:bottom w:val="single" w:color="auto" w:sz="4" w:space="0"/>
              <w:right w:val="single" w:color="auto" w:sz="4" w:space="0"/>
            </w:tcBorders>
            <w:vAlign w:val="center"/>
          </w:tcPr>
          <w:p w14:paraId="0D129B2D">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014301FD">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487" w:type="dxa"/>
            <w:tcBorders>
              <w:top w:val="nil"/>
              <w:left w:val="nil"/>
              <w:bottom w:val="single" w:color="auto" w:sz="4" w:space="0"/>
              <w:right w:val="single" w:color="auto" w:sz="4" w:space="0"/>
            </w:tcBorders>
            <w:vAlign w:val="center"/>
          </w:tcPr>
          <w:p w14:paraId="748D72E7">
            <w:pPr>
              <w:widowControl/>
              <w:jc w:val="center"/>
              <w:rPr>
                <w:rFonts w:ascii="宋体" w:hAnsi="宋体" w:eastAsia="宋体" w:cs="宋体"/>
                <w:kern w:val="0"/>
                <w:sz w:val="18"/>
                <w:szCs w:val="18"/>
              </w:rPr>
            </w:pPr>
          </w:p>
        </w:tc>
        <w:tc>
          <w:tcPr>
            <w:tcW w:w="651" w:type="dxa"/>
            <w:vMerge w:val="continue"/>
            <w:tcBorders>
              <w:left w:val="nil"/>
              <w:bottom w:val="single" w:color="auto" w:sz="4" w:space="0"/>
              <w:right w:val="single" w:color="auto" w:sz="4" w:space="0"/>
            </w:tcBorders>
            <w:vAlign w:val="center"/>
          </w:tcPr>
          <w:p w14:paraId="579E9D64">
            <w:pPr>
              <w:widowControl/>
              <w:jc w:val="center"/>
              <w:rPr>
                <w:rFonts w:ascii="宋体" w:hAnsi="宋体" w:eastAsia="宋体" w:cs="宋体"/>
                <w:kern w:val="0"/>
                <w:sz w:val="18"/>
                <w:szCs w:val="18"/>
              </w:rPr>
            </w:pPr>
          </w:p>
        </w:tc>
        <w:tc>
          <w:tcPr>
            <w:tcW w:w="624" w:type="dxa"/>
            <w:vMerge w:val="continue"/>
            <w:tcBorders>
              <w:left w:val="nil"/>
              <w:bottom w:val="single" w:color="auto" w:sz="4" w:space="0"/>
              <w:right w:val="single" w:color="auto" w:sz="4" w:space="0"/>
            </w:tcBorders>
            <w:vAlign w:val="center"/>
          </w:tcPr>
          <w:p w14:paraId="4FAE6735">
            <w:pPr>
              <w:widowControl/>
              <w:jc w:val="center"/>
              <w:rPr>
                <w:rFonts w:ascii="宋体" w:hAnsi="宋体" w:eastAsia="宋体" w:cs="宋体"/>
                <w:kern w:val="0"/>
                <w:sz w:val="18"/>
                <w:szCs w:val="18"/>
              </w:rPr>
            </w:pPr>
          </w:p>
        </w:tc>
        <w:tc>
          <w:tcPr>
            <w:tcW w:w="709" w:type="dxa"/>
            <w:vMerge w:val="continue"/>
            <w:tcBorders>
              <w:left w:val="nil"/>
              <w:bottom w:val="single" w:color="auto" w:sz="4" w:space="0"/>
              <w:right w:val="single" w:color="auto" w:sz="4" w:space="0"/>
            </w:tcBorders>
            <w:vAlign w:val="center"/>
          </w:tcPr>
          <w:p w14:paraId="633725EA">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213B8C5">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3CFAF6B">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15D32985">
            <w:pPr>
              <w:widowControl/>
              <w:jc w:val="center"/>
              <w:rPr>
                <w:rFonts w:ascii="宋体" w:hAnsi="宋体" w:eastAsia="宋体" w:cs="宋体"/>
                <w:kern w:val="0"/>
                <w:sz w:val="18"/>
                <w:szCs w:val="18"/>
              </w:rPr>
            </w:pPr>
          </w:p>
        </w:tc>
      </w:tr>
      <w:tr w14:paraId="72CD9BAD">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06479022">
            <w:pPr>
              <w:widowControl/>
              <w:jc w:val="left"/>
              <w:rPr>
                <w:rFonts w:ascii="宋体" w:hAnsi="宋体" w:eastAsia="宋体" w:cs="宋体"/>
                <w:kern w:val="0"/>
                <w:sz w:val="18"/>
                <w:szCs w:val="18"/>
              </w:rPr>
            </w:pPr>
          </w:p>
        </w:tc>
        <w:tc>
          <w:tcPr>
            <w:tcW w:w="426" w:type="dxa"/>
            <w:vMerge w:val="continue"/>
            <w:tcBorders>
              <w:top w:val="nil"/>
              <w:left w:val="single" w:color="auto" w:sz="4" w:space="0"/>
              <w:bottom w:val="single" w:color="auto" w:sz="4" w:space="0"/>
              <w:right w:val="nil"/>
            </w:tcBorders>
            <w:vAlign w:val="center"/>
          </w:tcPr>
          <w:p w14:paraId="1C82CEA7">
            <w:pPr>
              <w:widowControl/>
              <w:jc w:val="left"/>
              <w:rPr>
                <w:rFonts w:ascii="宋体" w:hAnsi="宋体" w:eastAsia="宋体" w:cs="宋体"/>
                <w:kern w:val="0"/>
                <w:sz w:val="18"/>
                <w:szCs w:val="18"/>
              </w:rPr>
            </w:pPr>
          </w:p>
        </w:tc>
        <w:tc>
          <w:tcPr>
            <w:tcW w:w="2993" w:type="dxa"/>
            <w:gridSpan w:val="3"/>
            <w:tcBorders>
              <w:top w:val="single" w:color="auto" w:sz="4" w:space="0"/>
              <w:left w:val="single" w:color="auto" w:sz="4" w:space="0"/>
              <w:bottom w:val="single" w:color="auto" w:sz="4" w:space="0"/>
              <w:right w:val="single" w:color="auto" w:sz="4" w:space="0"/>
            </w:tcBorders>
            <w:vAlign w:val="center"/>
          </w:tcPr>
          <w:p w14:paraId="7FC6649B">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小计（占总课时比例4.51%）</w:t>
            </w:r>
          </w:p>
        </w:tc>
        <w:tc>
          <w:tcPr>
            <w:tcW w:w="731" w:type="dxa"/>
            <w:tcBorders>
              <w:top w:val="nil"/>
              <w:left w:val="nil"/>
              <w:bottom w:val="single" w:color="auto" w:sz="4" w:space="0"/>
              <w:right w:val="single" w:color="auto" w:sz="4" w:space="0"/>
            </w:tcBorders>
            <w:vAlign w:val="center"/>
          </w:tcPr>
          <w:p w14:paraId="02796B55">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144</w:t>
            </w:r>
          </w:p>
        </w:tc>
        <w:tc>
          <w:tcPr>
            <w:tcW w:w="613" w:type="dxa"/>
            <w:tcBorders>
              <w:top w:val="nil"/>
              <w:left w:val="nil"/>
              <w:bottom w:val="single" w:color="auto" w:sz="4" w:space="0"/>
              <w:right w:val="single" w:color="auto" w:sz="4" w:space="0"/>
            </w:tcBorders>
            <w:vAlign w:val="center"/>
          </w:tcPr>
          <w:p w14:paraId="5D8FE8D4">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c>
          <w:tcPr>
            <w:tcW w:w="705" w:type="dxa"/>
            <w:tcBorders>
              <w:top w:val="nil"/>
              <w:left w:val="single" w:color="auto" w:sz="4" w:space="0"/>
              <w:bottom w:val="single" w:color="auto" w:sz="4" w:space="0"/>
              <w:right w:val="single" w:color="auto" w:sz="4" w:space="0"/>
            </w:tcBorders>
            <w:vAlign w:val="center"/>
          </w:tcPr>
          <w:p w14:paraId="5EB3FD6D">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w:t>
            </w:r>
          </w:p>
        </w:tc>
        <w:tc>
          <w:tcPr>
            <w:tcW w:w="487" w:type="dxa"/>
            <w:tcBorders>
              <w:top w:val="nil"/>
              <w:left w:val="nil"/>
              <w:bottom w:val="single" w:color="auto" w:sz="4" w:space="0"/>
              <w:right w:val="single" w:color="auto" w:sz="4" w:space="0"/>
            </w:tcBorders>
            <w:vAlign w:val="center"/>
          </w:tcPr>
          <w:p w14:paraId="7FD7E27E">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6D9F885F">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24" w:type="dxa"/>
            <w:tcBorders>
              <w:top w:val="nil"/>
              <w:left w:val="nil"/>
              <w:bottom w:val="single" w:color="auto" w:sz="4" w:space="0"/>
              <w:right w:val="single" w:color="auto" w:sz="4" w:space="0"/>
            </w:tcBorders>
            <w:vAlign w:val="center"/>
          </w:tcPr>
          <w:p w14:paraId="7AF515FD">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709" w:type="dxa"/>
            <w:tcBorders>
              <w:top w:val="nil"/>
              <w:left w:val="nil"/>
              <w:bottom w:val="single" w:color="auto" w:sz="4" w:space="0"/>
              <w:right w:val="single" w:color="auto" w:sz="4" w:space="0"/>
            </w:tcBorders>
            <w:vAlign w:val="center"/>
          </w:tcPr>
          <w:p w14:paraId="1927FE7C">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567" w:type="dxa"/>
            <w:tcBorders>
              <w:top w:val="nil"/>
              <w:left w:val="nil"/>
              <w:bottom w:val="single" w:color="auto" w:sz="4" w:space="0"/>
              <w:right w:val="single" w:color="auto" w:sz="4" w:space="0"/>
            </w:tcBorders>
            <w:vAlign w:val="center"/>
          </w:tcPr>
          <w:p w14:paraId="4FF579B7">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1266C7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625A725">
            <w:pPr>
              <w:widowControl/>
              <w:jc w:val="center"/>
              <w:rPr>
                <w:rFonts w:ascii="宋体" w:hAnsi="宋体" w:eastAsia="宋体" w:cs="宋体"/>
                <w:kern w:val="0"/>
                <w:sz w:val="18"/>
                <w:szCs w:val="18"/>
              </w:rPr>
            </w:pPr>
          </w:p>
        </w:tc>
      </w:tr>
      <w:tr w14:paraId="26166BBB">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E7DB53C">
            <w:pPr>
              <w:widowControl/>
              <w:jc w:val="left"/>
              <w:rPr>
                <w:rFonts w:ascii="宋体" w:hAnsi="宋体" w:eastAsia="宋体" w:cs="宋体"/>
                <w:kern w:val="0"/>
                <w:sz w:val="18"/>
                <w:szCs w:val="18"/>
              </w:rPr>
            </w:pPr>
          </w:p>
        </w:tc>
        <w:tc>
          <w:tcPr>
            <w:tcW w:w="426" w:type="dxa"/>
            <w:vMerge w:val="restart"/>
            <w:tcBorders>
              <w:top w:val="single" w:color="auto" w:sz="4" w:space="0"/>
              <w:left w:val="single" w:color="auto" w:sz="4" w:space="0"/>
              <w:right w:val="nil"/>
            </w:tcBorders>
            <w:vAlign w:val="center"/>
          </w:tcPr>
          <w:p w14:paraId="62490E3F">
            <w:pPr>
              <w:jc w:val="left"/>
              <w:rPr>
                <w:rFonts w:ascii="宋体" w:hAnsi="宋体" w:eastAsia="宋体" w:cs="宋体"/>
                <w:kern w:val="0"/>
                <w:sz w:val="18"/>
                <w:szCs w:val="18"/>
              </w:rPr>
            </w:pPr>
            <w:r>
              <w:rPr>
                <w:rFonts w:hint="eastAsia" w:ascii="宋体" w:hAnsi="宋体" w:eastAsia="宋体" w:cs="宋体"/>
                <w:kern w:val="0"/>
                <w:sz w:val="18"/>
                <w:szCs w:val="18"/>
              </w:rPr>
              <w:t>实习实训课程</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0D6C9B68">
            <w:pPr>
              <w:adjustRightInd w:val="0"/>
              <w:snapToGrid w:val="0"/>
              <w:jc w:val="center"/>
              <w:rPr>
                <w:rFonts w:ascii="宋体" w:hAnsi="宋体" w:eastAsia="宋体"/>
                <w:sz w:val="18"/>
                <w:szCs w:val="18"/>
              </w:rPr>
            </w:pPr>
            <w:r>
              <w:rPr>
                <w:rFonts w:hint="eastAsia" w:ascii="宋体" w:hAnsi="宋体" w:eastAsia="宋体"/>
                <w:sz w:val="18"/>
                <w:szCs w:val="18"/>
              </w:rPr>
              <w:t>1013001</w:t>
            </w:r>
          </w:p>
        </w:tc>
        <w:tc>
          <w:tcPr>
            <w:tcW w:w="1853" w:type="dxa"/>
            <w:tcBorders>
              <w:top w:val="single" w:color="auto" w:sz="4" w:space="0"/>
              <w:left w:val="single" w:color="auto" w:sz="4" w:space="0"/>
              <w:bottom w:val="single" w:color="auto" w:sz="4" w:space="0"/>
              <w:right w:val="single" w:color="auto" w:sz="4" w:space="0"/>
            </w:tcBorders>
            <w:vAlign w:val="center"/>
          </w:tcPr>
          <w:p w14:paraId="7C6455B1">
            <w:pPr>
              <w:adjustRightInd w:val="0"/>
              <w:snapToGrid w:val="0"/>
              <w:jc w:val="center"/>
              <w:rPr>
                <w:rFonts w:ascii="宋体" w:hAnsi="宋体" w:eastAsia="宋体"/>
                <w:sz w:val="18"/>
                <w:szCs w:val="18"/>
              </w:rPr>
            </w:pPr>
            <w:r>
              <w:rPr>
                <w:rFonts w:hint="eastAsia" w:ascii="宋体" w:hAnsi="宋体" w:eastAsia="宋体"/>
                <w:sz w:val="18"/>
                <w:szCs w:val="18"/>
              </w:rPr>
              <w:t>会计手工综合实训</w:t>
            </w:r>
          </w:p>
        </w:tc>
        <w:tc>
          <w:tcPr>
            <w:tcW w:w="731" w:type="dxa"/>
            <w:tcBorders>
              <w:top w:val="nil"/>
              <w:left w:val="nil"/>
              <w:bottom w:val="single" w:color="auto" w:sz="4" w:space="0"/>
              <w:right w:val="single" w:color="auto" w:sz="4" w:space="0"/>
            </w:tcBorders>
            <w:vAlign w:val="center"/>
          </w:tcPr>
          <w:p w14:paraId="69AD3485">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613" w:type="dxa"/>
            <w:tcBorders>
              <w:top w:val="nil"/>
              <w:left w:val="nil"/>
              <w:bottom w:val="single" w:color="auto" w:sz="4" w:space="0"/>
              <w:right w:val="single" w:color="auto" w:sz="4" w:space="0"/>
            </w:tcBorders>
            <w:vAlign w:val="center"/>
          </w:tcPr>
          <w:p w14:paraId="1559A1AA">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705" w:type="dxa"/>
            <w:tcBorders>
              <w:top w:val="nil"/>
              <w:left w:val="single" w:color="auto" w:sz="4" w:space="0"/>
              <w:bottom w:val="single" w:color="auto" w:sz="4" w:space="0"/>
              <w:right w:val="single" w:color="auto" w:sz="4" w:space="0"/>
            </w:tcBorders>
            <w:vAlign w:val="center"/>
          </w:tcPr>
          <w:p w14:paraId="700D4959">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487" w:type="dxa"/>
            <w:tcBorders>
              <w:top w:val="nil"/>
              <w:left w:val="nil"/>
              <w:bottom w:val="single" w:color="auto" w:sz="4" w:space="0"/>
              <w:right w:val="single" w:color="auto" w:sz="4" w:space="0"/>
            </w:tcBorders>
            <w:vAlign w:val="center"/>
          </w:tcPr>
          <w:p w14:paraId="22A9F0B2">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79EF9C50">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253772CE">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1F80ACB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46958C4">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vAlign w:val="center"/>
          </w:tcPr>
          <w:p w14:paraId="474A3E11">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4625DB4">
            <w:pPr>
              <w:widowControl/>
              <w:jc w:val="center"/>
              <w:rPr>
                <w:rFonts w:ascii="宋体" w:hAnsi="宋体" w:eastAsia="宋体" w:cs="宋体"/>
                <w:kern w:val="0"/>
                <w:sz w:val="18"/>
                <w:szCs w:val="18"/>
              </w:rPr>
            </w:pPr>
          </w:p>
        </w:tc>
      </w:tr>
      <w:tr w14:paraId="299522EA">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5E3E099E">
            <w:pPr>
              <w:widowControl/>
              <w:jc w:val="left"/>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5C9CCD4F">
            <w:pPr>
              <w:jc w:val="left"/>
              <w:rPr>
                <w:rFonts w:ascii="宋体" w:hAnsi="宋体" w:eastAsia="宋体" w:cs="宋体"/>
                <w:kern w:val="0"/>
                <w:sz w:val="18"/>
                <w:szCs w:val="18"/>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4EDEE4D7">
            <w:pPr>
              <w:adjustRightInd w:val="0"/>
              <w:snapToGrid w:val="0"/>
              <w:jc w:val="center"/>
              <w:rPr>
                <w:rFonts w:ascii="宋体" w:hAnsi="宋体" w:eastAsia="宋体"/>
                <w:sz w:val="18"/>
                <w:szCs w:val="18"/>
              </w:rPr>
            </w:pPr>
            <w:r>
              <w:rPr>
                <w:rFonts w:hint="eastAsia" w:ascii="宋体" w:hAnsi="宋体" w:eastAsia="宋体"/>
                <w:sz w:val="18"/>
                <w:szCs w:val="18"/>
              </w:rPr>
              <w:t>1013002</w:t>
            </w:r>
          </w:p>
        </w:tc>
        <w:tc>
          <w:tcPr>
            <w:tcW w:w="1853" w:type="dxa"/>
            <w:tcBorders>
              <w:top w:val="single" w:color="auto" w:sz="4" w:space="0"/>
              <w:left w:val="single" w:color="auto" w:sz="4" w:space="0"/>
              <w:bottom w:val="single" w:color="auto" w:sz="4" w:space="0"/>
              <w:right w:val="single" w:color="auto" w:sz="4" w:space="0"/>
            </w:tcBorders>
            <w:vAlign w:val="center"/>
          </w:tcPr>
          <w:p w14:paraId="1D2AC03D">
            <w:pPr>
              <w:adjustRightInd w:val="0"/>
              <w:snapToGrid w:val="0"/>
              <w:jc w:val="center"/>
              <w:rPr>
                <w:rFonts w:ascii="宋体" w:hAnsi="宋体" w:eastAsia="宋体"/>
                <w:sz w:val="18"/>
                <w:szCs w:val="18"/>
              </w:rPr>
            </w:pPr>
            <w:r>
              <w:rPr>
                <w:rFonts w:hint="eastAsia" w:ascii="宋体" w:hAnsi="宋体" w:eastAsia="宋体"/>
                <w:sz w:val="18"/>
                <w:szCs w:val="18"/>
              </w:rPr>
              <w:t>会计电算化综合实训</w:t>
            </w:r>
          </w:p>
        </w:tc>
        <w:tc>
          <w:tcPr>
            <w:tcW w:w="731" w:type="dxa"/>
            <w:tcBorders>
              <w:top w:val="nil"/>
              <w:left w:val="nil"/>
              <w:bottom w:val="single" w:color="auto" w:sz="4" w:space="0"/>
              <w:right w:val="single" w:color="auto" w:sz="4" w:space="0"/>
            </w:tcBorders>
            <w:vAlign w:val="center"/>
          </w:tcPr>
          <w:p w14:paraId="671ED990">
            <w:pPr>
              <w:widowControl/>
              <w:jc w:val="center"/>
              <w:rPr>
                <w:rFonts w:ascii="宋体" w:hAnsi="宋体" w:eastAsia="宋体" w:cs="宋体"/>
                <w:kern w:val="0"/>
                <w:sz w:val="18"/>
                <w:szCs w:val="18"/>
              </w:rPr>
            </w:pPr>
            <w:r>
              <w:rPr>
                <w:rFonts w:hint="eastAsia" w:ascii="宋体" w:hAnsi="宋体" w:eastAsia="宋体" w:cs="宋体"/>
                <w:kern w:val="0"/>
                <w:sz w:val="18"/>
                <w:szCs w:val="18"/>
              </w:rPr>
              <w:t>108</w:t>
            </w:r>
          </w:p>
        </w:tc>
        <w:tc>
          <w:tcPr>
            <w:tcW w:w="613" w:type="dxa"/>
            <w:tcBorders>
              <w:top w:val="nil"/>
              <w:left w:val="nil"/>
              <w:bottom w:val="single" w:color="auto" w:sz="4" w:space="0"/>
              <w:right w:val="single" w:color="auto" w:sz="4" w:space="0"/>
            </w:tcBorders>
            <w:vAlign w:val="center"/>
          </w:tcPr>
          <w:p w14:paraId="2E9645F5">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705" w:type="dxa"/>
            <w:tcBorders>
              <w:top w:val="nil"/>
              <w:left w:val="single" w:color="auto" w:sz="4" w:space="0"/>
              <w:bottom w:val="single" w:color="auto" w:sz="4" w:space="0"/>
              <w:right w:val="single" w:color="auto" w:sz="4" w:space="0"/>
            </w:tcBorders>
            <w:vAlign w:val="center"/>
          </w:tcPr>
          <w:p w14:paraId="29FACF43">
            <w:pPr>
              <w:widowControl/>
              <w:jc w:val="center"/>
              <w:rPr>
                <w:rFonts w:ascii="宋体" w:hAnsi="宋体" w:eastAsia="宋体" w:cs="宋体"/>
                <w:kern w:val="0"/>
                <w:sz w:val="18"/>
                <w:szCs w:val="18"/>
              </w:rPr>
            </w:pPr>
            <w:r>
              <w:rPr>
                <w:rFonts w:hint="eastAsia" w:ascii="宋体" w:hAnsi="宋体" w:eastAsia="宋体" w:cs="宋体"/>
                <w:kern w:val="0"/>
                <w:sz w:val="18"/>
                <w:szCs w:val="18"/>
              </w:rPr>
              <w:t>108</w:t>
            </w:r>
          </w:p>
        </w:tc>
        <w:tc>
          <w:tcPr>
            <w:tcW w:w="487" w:type="dxa"/>
            <w:tcBorders>
              <w:top w:val="nil"/>
              <w:left w:val="nil"/>
              <w:bottom w:val="single" w:color="auto" w:sz="4" w:space="0"/>
              <w:right w:val="single" w:color="auto" w:sz="4" w:space="0"/>
            </w:tcBorders>
            <w:vAlign w:val="center"/>
          </w:tcPr>
          <w:p w14:paraId="37B51650">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1B268DAC">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2F6D21E9">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0C91687D">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928D6D2">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tcBorders>
              <w:top w:val="nil"/>
              <w:left w:val="nil"/>
              <w:bottom w:val="single" w:color="auto" w:sz="4" w:space="0"/>
              <w:right w:val="single" w:color="auto" w:sz="4" w:space="0"/>
            </w:tcBorders>
            <w:vAlign w:val="center"/>
          </w:tcPr>
          <w:p w14:paraId="038D739C">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514C439D">
            <w:pPr>
              <w:widowControl/>
              <w:jc w:val="center"/>
              <w:rPr>
                <w:rFonts w:ascii="宋体" w:hAnsi="宋体" w:eastAsia="宋体" w:cs="宋体"/>
                <w:kern w:val="0"/>
                <w:sz w:val="18"/>
                <w:szCs w:val="18"/>
              </w:rPr>
            </w:pPr>
          </w:p>
        </w:tc>
      </w:tr>
      <w:tr w14:paraId="3BF657CF">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6AF1529E">
            <w:pPr>
              <w:widowControl/>
              <w:jc w:val="left"/>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701EE364">
            <w:pPr>
              <w:jc w:val="left"/>
              <w:rPr>
                <w:rFonts w:ascii="宋体" w:hAnsi="宋体" w:eastAsia="宋体" w:cs="宋体"/>
                <w:kern w:val="0"/>
                <w:sz w:val="18"/>
                <w:szCs w:val="18"/>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49188B5D">
            <w:pPr>
              <w:adjustRightInd w:val="0"/>
              <w:snapToGrid w:val="0"/>
              <w:jc w:val="center"/>
              <w:rPr>
                <w:rFonts w:ascii="宋体" w:hAnsi="宋体" w:eastAsia="宋体"/>
                <w:sz w:val="18"/>
                <w:szCs w:val="18"/>
              </w:rPr>
            </w:pPr>
            <w:r>
              <w:rPr>
                <w:rFonts w:hint="eastAsia" w:ascii="宋体" w:hAnsi="宋体" w:eastAsia="宋体"/>
                <w:sz w:val="18"/>
                <w:szCs w:val="18"/>
              </w:rPr>
              <w:t>1013003</w:t>
            </w:r>
          </w:p>
        </w:tc>
        <w:tc>
          <w:tcPr>
            <w:tcW w:w="1853" w:type="dxa"/>
            <w:tcBorders>
              <w:top w:val="single" w:color="auto" w:sz="4" w:space="0"/>
              <w:left w:val="single" w:color="auto" w:sz="4" w:space="0"/>
              <w:bottom w:val="single" w:color="auto" w:sz="4" w:space="0"/>
              <w:right w:val="single" w:color="auto" w:sz="4" w:space="0"/>
            </w:tcBorders>
            <w:vAlign w:val="center"/>
          </w:tcPr>
          <w:p w14:paraId="47A91D0D">
            <w:pPr>
              <w:adjustRightInd w:val="0"/>
              <w:snapToGrid w:val="0"/>
              <w:rPr>
                <w:rFonts w:ascii="宋体" w:hAnsi="宋体" w:eastAsia="宋体"/>
                <w:sz w:val="18"/>
                <w:szCs w:val="18"/>
              </w:rPr>
            </w:pPr>
            <w:r>
              <w:rPr>
                <w:rFonts w:hint="eastAsia" w:ascii="宋体" w:hAnsi="宋体" w:eastAsia="宋体"/>
                <w:sz w:val="18"/>
                <w:szCs w:val="18"/>
              </w:rPr>
              <w:t>出纳岗位综合实训</w:t>
            </w:r>
          </w:p>
        </w:tc>
        <w:tc>
          <w:tcPr>
            <w:tcW w:w="731" w:type="dxa"/>
            <w:tcBorders>
              <w:top w:val="nil"/>
              <w:left w:val="nil"/>
              <w:bottom w:val="single" w:color="auto" w:sz="4" w:space="0"/>
              <w:right w:val="single" w:color="auto" w:sz="4" w:space="0"/>
            </w:tcBorders>
            <w:vAlign w:val="center"/>
          </w:tcPr>
          <w:p w14:paraId="2DF14CA1">
            <w:pPr>
              <w:widowControl/>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613" w:type="dxa"/>
            <w:tcBorders>
              <w:top w:val="nil"/>
              <w:left w:val="nil"/>
              <w:bottom w:val="single" w:color="auto" w:sz="4" w:space="0"/>
              <w:right w:val="single" w:color="auto" w:sz="4" w:space="0"/>
            </w:tcBorders>
            <w:vAlign w:val="center"/>
          </w:tcPr>
          <w:p w14:paraId="15E28642">
            <w:pPr>
              <w:widowControl/>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705" w:type="dxa"/>
            <w:tcBorders>
              <w:top w:val="nil"/>
              <w:left w:val="single" w:color="auto" w:sz="4" w:space="0"/>
              <w:bottom w:val="single" w:color="auto" w:sz="4" w:space="0"/>
              <w:right w:val="single" w:color="auto" w:sz="4" w:space="0"/>
            </w:tcBorders>
            <w:vAlign w:val="center"/>
          </w:tcPr>
          <w:p w14:paraId="178476A4">
            <w:pPr>
              <w:widowControl/>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487" w:type="dxa"/>
            <w:tcBorders>
              <w:top w:val="nil"/>
              <w:left w:val="nil"/>
              <w:bottom w:val="single" w:color="auto" w:sz="4" w:space="0"/>
              <w:right w:val="single" w:color="auto" w:sz="4" w:space="0"/>
            </w:tcBorders>
            <w:vAlign w:val="center"/>
          </w:tcPr>
          <w:p w14:paraId="1EFD0711">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41EDCE43">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3E9B9247">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5D609C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F87FEE3">
            <w:pPr>
              <w:widowControl/>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14:paraId="4A606F8F">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D8339E5">
            <w:pPr>
              <w:widowControl/>
              <w:jc w:val="center"/>
              <w:rPr>
                <w:rFonts w:ascii="宋体" w:hAnsi="宋体" w:eastAsia="宋体" w:cs="宋体"/>
                <w:kern w:val="0"/>
                <w:sz w:val="18"/>
                <w:szCs w:val="18"/>
              </w:rPr>
            </w:pPr>
          </w:p>
        </w:tc>
      </w:tr>
      <w:tr w14:paraId="2B06312C">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23EA8266">
            <w:pPr>
              <w:widowControl/>
              <w:jc w:val="left"/>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44BD7377">
            <w:pPr>
              <w:jc w:val="left"/>
              <w:rPr>
                <w:rFonts w:ascii="宋体" w:hAnsi="宋体" w:eastAsia="宋体" w:cs="宋体"/>
                <w:kern w:val="0"/>
                <w:sz w:val="18"/>
                <w:szCs w:val="18"/>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7506AB14">
            <w:pPr>
              <w:adjustRightInd w:val="0"/>
              <w:snapToGrid w:val="0"/>
              <w:jc w:val="center"/>
              <w:rPr>
                <w:rFonts w:ascii="宋体" w:hAnsi="宋体" w:eastAsia="宋体"/>
                <w:sz w:val="18"/>
                <w:szCs w:val="18"/>
              </w:rPr>
            </w:pPr>
            <w:r>
              <w:rPr>
                <w:rFonts w:hint="eastAsia" w:ascii="宋体" w:hAnsi="宋体" w:eastAsia="宋体"/>
                <w:sz w:val="18"/>
                <w:szCs w:val="18"/>
              </w:rPr>
              <w:t>1013005</w:t>
            </w:r>
          </w:p>
        </w:tc>
        <w:tc>
          <w:tcPr>
            <w:tcW w:w="1853" w:type="dxa"/>
            <w:tcBorders>
              <w:top w:val="single" w:color="auto" w:sz="4" w:space="0"/>
              <w:left w:val="single" w:color="auto" w:sz="4" w:space="0"/>
              <w:bottom w:val="single" w:color="auto" w:sz="4" w:space="0"/>
              <w:right w:val="single" w:color="auto" w:sz="4" w:space="0"/>
            </w:tcBorders>
            <w:vAlign w:val="center"/>
          </w:tcPr>
          <w:p w14:paraId="4B36B062">
            <w:pPr>
              <w:adjustRightInd w:val="0"/>
              <w:snapToGrid w:val="0"/>
              <w:jc w:val="center"/>
              <w:rPr>
                <w:rFonts w:ascii="宋体" w:hAnsi="宋体" w:eastAsia="宋体"/>
                <w:sz w:val="18"/>
                <w:szCs w:val="18"/>
              </w:rPr>
            </w:pPr>
            <w:r>
              <w:rPr>
                <w:rFonts w:hint="eastAsia" w:ascii="宋体" w:hAnsi="宋体" w:eastAsia="宋体"/>
                <w:sz w:val="18"/>
                <w:szCs w:val="18"/>
              </w:rPr>
              <w:t>纳税申报综合实训</w:t>
            </w:r>
          </w:p>
        </w:tc>
        <w:tc>
          <w:tcPr>
            <w:tcW w:w="731" w:type="dxa"/>
            <w:tcBorders>
              <w:top w:val="nil"/>
              <w:left w:val="nil"/>
              <w:bottom w:val="single" w:color="auto" w:sz="4" w:space="0"/>
              <w:right w:val="single" w:color="auto" w:sz="4" w:space="0"/>
            </w:tcBorders>
            <w:vAlign w:val="center"/>
          </w:tcPr>
          <w:p w14:paraId="7BF6793B">
            <w:pPr>
              <w:widowControl/>
              <w:jc w:val="center"/>
              <w:rPr>
                <w:rFonts w:ascii="宋体" w:hAnsi="宋体" w:eastAsia="宋体" w:cs="宋体"/>
                <w:kern w:val="0"/>
                <w:sz w:val="18"/>
                <w:szCs w:val="18"/>
              </w:rPr>
            </w:pPr>
            <w:r>
              <w:rPr>
                <w:rFonts w:hint="eastAsia" w:ascii="宋体" w:hAnsi="宋体" w:eastAsia="宋体" w:cs="宋体"/>
                <w:kern w:val="0"/>
                <w:sz w:val="18"/>
                <w:szCs w:val="18"/>
              </w:rPr>
              <w:t>180</w:t>
            </w:r>
          </w:p>
        </w:tc>
        <w:tc>
          <w:tcPr>
            <w:tcW w:w="613" w:type="dxa"/>
            <w:tcBorders>
              <w:top w:val="nil"/>
              <w:left w:val="nil"/>
              <w:bottom w:val="single" w:color="auto" w:sz="4" w:space="0"/>
              <w:right w:val="single" w:color="auto" w:sz="4" w:space="0"/>
            </w:tcBorders>
            <w:vAlign w:val="center"/>
          </w:tcPr>
          <w:p w14:paraId="74F59EC7">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705" w:type="dxa"/>
            <w:tcBorders>
              <w:top w:val="nil"/>
              <w:left w:val="single" w:color="auto" w:sz="4" w:space="0"/>
              <w:bottom w:val="single" w:color="auto" w:sz="4" w:space="0"/>
              <w:right w:val="single" w:color="auto" w:sz="4" w:space="0"/>
            </w:tcBorders>
            <w:vAlign w:val="center"/>
          </w:tcPr>
          <w:p w14:paraId="65857A22">
            <w:pPr>
              <w:widowControl/>
              <w:jc w:val="center"/>
              <w:rPr>
                <w:rFonts w:ascii="宋体" w:hAnsi="宋体" w:eastAsia="宋体" w:cs="宋体"/>
                <w:kern w:val="0"/>
                <w:sz w:val="18"/>
                <w:szCs w:val="18"/>
              </w:rPr>
            </w:pPr>
            <w:r>
              <w:rPr>
                <w:rFonts w:hint="eastAsia" w:ascii="宋体" w:hAnsi="宋体" w:eastAsia="宋体" w:cs="宋体"/>
                <w:kern w:val="0"/>
                <w:sz w:val="18"/>
                <w:szCs w:val="18"/>
              </w:rPr>
              <w:t>180</w:t>
            </w:r>
          </w:p>
        </w:tc>
        <w:tc>
          <w:tcPr>
            <w:tcW w:w="487" w:type="dxa"/>
            <w:tcBorders>
              <w:top w:val="nil"/>
              <w:left w:val="nil"/>
              <w:bottom w:val="single" w:color="auto" w:sz="4" w:space="0"/>
              <w:right w:val="single" w:color="auto" w:sz="4" w:space="0"/>
            </w:tcBorders>
            <w:vAlign w:val="center"/>
          </w:tcPr>
          <w:p w14:paraId="67E674F3">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5F27CF15">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675D147A">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63EB13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C0292C8">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vAlign w:val="center"/>
          </w:tcPr>
          <w:p w14:paraId="7A9632CB">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22E546B8">
            <w:pPr>
              <w:widowControl/>
              <w:jc w:val="center"/>
              <w:rPr>
                <w:rFonts w:ascii="宋体" w:hAnsi="宋体" w:eastAsia="宋体" w:cs="宋体"/>
                <w:kern w:val="0"/>
                <w:sz w:val="18"/>
                <w:szCs w:val="18"/>
              </w:rPr>
            </w:pPr>
          </w:p>
        </w:tc>
      </w:tr>
      <w:tr w14:paraId="7EE20205">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right w:val="single" w:color="auto" w:sz="4" w:space="0"/>
            </w:tcBorders>
            <w:vAlign w:val="center"/>
          </w:tcPr>
          <w:p w14:paraId="36CC15F3">
            <w:pPr>
              <w:widowControl/>
              <w:jc w:val="left"/>
              <w:rPr>
                <w:rFonts w:ascii="宋体" w:hAnsi="宋体" w:eastAsia="宋体" w:cs="宋体"/>
                <w:kern w:val="0"/>
                <w:sz w:val="18"/>
                <w:szCs w:val="18"/>
              </w:rPr>
            </w:pPr>
          </w:p>
        </w:tc>
        <w:tc>
          <w:tcPr>
            <w:tcW w:w="426" w:type="dxa"/>
            <w:vMerge w:val="continue"/>
            <w:tcBorders>
              <w:left w:val="single" w:color="auto" w:sz="4" w:space="0"/>
              <w:right w:val="nil"/>
            </w:tcBorders>
            <w:vAlign w:val="center"/>
          </w:tcPr>
          <w:p w14:paraId="4065BABE">
            <w:pPr>
              <w:jc w:val="left"/>
              <w:rPr>
                <w:rFonts w:ascii="宋体" w:hAnsi="宋体" w:eastAsia="宋体" w:cs="宋体"/>
                <w:kern w:val="0"/>
                <w:sz w:val="18"/>
                <w:szCs w:val="18"/>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5321847A">
            <w:pPr>
              <w:widowControl/>
              <w:jc w:val="center"/>
              <w:rPr>
                <w:rFonts w:ascii="宋体" w:hAnsi="宋体" w:eastAsia="宋体" w:cs="宋体"/>
                <w:kern w:val="0"/>
                <w:sz w:val="18"/>
                <w:szCs w:val="18"/>
              </w:rPr>
            </w:pPr>
            <w:r>
              <w:rPr>
                <w:rFonts w:hint="eastAsia" w:ascii="宋体" w:hAnsi="宋体" w:eastAsia="宋体" w:cs="宋体"/>
                <w:kern w:val="0"/>
                <w:sz w:val="18"/>
                <w:szCs w:val="18"/>
              </w:rPr>
              <w:t>1013020</w:t>
            </w:r>
          </w:p>
        </w:tc>
        <w:tc>
          <w:tcPr>
            <w:tcW w:w="1853" w:type="dxa"/>
            <w:tcBorders>
              <w:top w:val="single" w:color="auto" w:sz="4" w:space="0"/>
              <w:left w:val="single" w:color="auto" w:sz="4" w:space="0"/>
              <w:bottom w:val="single" w:color="auto" w:sz="4" w:space="0"/>
              <w:right w:val="single" w:color="auto" w:sz="4" w:space="0"/>
            </w:tcBorders>
            <w:vAlign w:val="center"/>
          </w:tcPr>
          <w:p w14:paraId="7C270F4D">
            <w:pPr>
              <w:widowControl/>
              <w:jc w:val="center"/>
              <w:rPr>
                <w:rFonts w:ascii="宋体" w:hAnsi="宋体" w:eastAsia="宋体" w:cs="宋体"/>
                <w:kern w:val="0"/>
                <w:sz w:val="18"/>
                <w:szCs w:val="18"/>
              </w:rPr>
            </w:pPr>
            <w:r>
              <w:rPr>
                <w:rFonts w:hint="eastAsia" w:ascii="宋体" w:hAnsi="宋体" w:eastAsia="宋体" w:cs="宋体"/>
                <w:kern w:val="0"/>
                <w:sz w:val="18"/>
                <w:szCs w:val="18"/>
              </w:rPr>
              <w:t>岗位实习</w:t>
            </w:r>
          </w:p>
        </w:tc>
        <w:tc>
          <w:tcPr>
            <w:tcW w:w="731" w:type="dxa"/>
            <w:tcBorders>
              <w:top w:val="nil"/>
              <w:left w:val="nil"/>
              <w:bottom w:val="single" w:color="auto" w:sz="4" w:space="0"/>
              <w:right w:val="single" w:color="auto" w:sz="4" w:space="0"/>
            </w:tcBorders>
            <w:vAlign w:val="center"/>
          </w:tcPr>
          <w:p w14:paraId="11D5EE1A">
            <w:pPr>
              <w:widowControl/>
              <w:jc w:val="center"/>
              <w:rPr>
                <w:rFonts w:ascii="宋体" w:hAnsi="宋体" w:eastAsia="宋体" w:cs="宋体"/>
                <w:kern w:val="0"/>
                <w:sz w:val="18"/>
                <w:szCs w:val="18"/>
              </w:rPr>
            </w:pPr>
            <w:r>
              <w:rPr>
                <w:rFonts w:hint="eastAsia" w:ascii="宋体" w:hAnsi="宋体" w:eastAsia="宋体" w:cs="宋体"/>
                <w:kern w:val="0"/>
                <w:sz w:val="18"/>
                <w:szCs w:val="18"/>
              </w:rPr>
              <w:t>570</w:t>
            </w:r>
          </w:p>
        </w:tc>
        <w:tc>
          <w:tcPr>
            <w:tcW w:w="613" w:type="dxa"/>
            <w:tcBorders>
              <w:top w:val="nil"/>
              <w:left w:val="nil"/>
              <w:bottom w:val="single" w:color="auto" w:sz="4" w:space="0"/>
              <w:right w:val="single" w:color="auto" w:sz="4" w:space="0"/>
            </w:tcBorders>
            <w:vAlign w:val="center"/>
          </w:tcPr>
          <w:p w14:paraId="1D1182A3">
            <w:pPr>
              <w:widowControl/>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705" w:type="dxa"/>
            <w:tcBorders>
              <w:top w:val="nil"/>
              <w:left w:val="single" w:color="auto" w:sz="4" w:space="0"/>
              <w:bottom w:val="single" w:color="auto" w:sz="4" w:space="0"/>
              <w:right w:val="single" w:color="auto" w:sz="4" w:space="0"/>
            </w:tcBorders>
            <w:vAlign w:val="center"/>
          </w:tcPr>
          <w:p w14:paraId="759A535B">
            <w:pPr>
              <w:widowControl/>
              <w:jc w:val="center"/>
              <w:rPr>
                <w:rFonts w:ascii="宋体" w:hAnsi="宋体" w:eastAsia="宋体" w:cs="宋体"/>
                <w:kern w:val="0"/>
                <w:sz w:val="18"/>
                <w:szCs w:val="18"/>
              </w:rPr>
            </w:pPr>
            <w:r>
              <w:rPr>
                <w:rFonts w:hint="eastAsia" w:ascii="宋体" w:hAnsi="宋体" w:eastAsia="宋体" w:cs="宋体"/>
                <w:kern w:val="0"/>
                <w:sz w:val="18"/>
                <w:szCs w:val="18"/>
              </w:rPr>
              <w:t>570</w:t>
            </w:r>
          </w:p>
        </w:tc>
        <w:tc>
          <w:tcPr>
            <w:tcW w:w="487" w:type="dxa"/>
            <w:tcBorders>
              <w:top w:val="nil"/>
              <w:left w:val="nil"/>
              <w:bottom w:val="single" w:color="auto" w:sz="4" w:space="0"/>
              <w:right w:val="single" w:color="auto" w:sz="4" w:space="0"/>
            </w:tcBorders>
            <w:vAlign w:val="center"/>
          </w:tcPr>
          <w:p w14:paraId="4D74450B">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30272BAC">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6EC0EBAC">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A09DF78">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F88D31C">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F8A87E1">
            <w:pPr>
              <w:widowControl/>
              <w:jc w:val="center"/>
              <w:rPr>
                <w:rFonts w:ascii="宋体" w:hAnsi="宋体" w:eastAsia="宋体" w:cs="宋体"/>
                <w:kern w:val="0"/>
                <w:sz w:val="18"/>
                <w:szCs w:val="18"/>
              </w:rPr>
            </w:pPr>
            <w:r>
              <w:rPr>
                <w:rFonts w:hint="eastAsia" w:ascii="宋体" w:hAnsi="宋体" w:eastAsia="宋体" w:cs="宋体"/>
                <w:kern w:val="0"/>
                <w:sz w:val="18"/>
                <w:szCs w:val="18"/>
              </w:rPr>
              <w:t>19W</w:t>
            </w:r>
          </w:p>
        </w:tc>
        <w:tc>
          <w:tcPr>
            <w:tcW w:w="548" w:type="dxa"/>
            <w:tcBorders>
              <w:top w:val="nil"/>
              <w:left w:val="nil"/>
              <w:bottom w:val="single" w:color="auto" w:sz="4" w:space="0"/>
              <w:right w:val="single" w:color="auto" w:sz="4" w:space="0"/>
            </w:tcBorders>
          </w:tcPr>
          <w:p w14:paraId="6EF2B3A0">
            <w:pPr>
              <w:widowControl/>
              <w:jc w:val="center"/>
              <w:rPr>
                <w:rFonts w:ascii="宋体" w:hAnsi="宋体" w:eastAsia="宋体" w:cs="宋体"/>
                <w:kern w:val="0"/>
                <w:sz w:val="18"/>
                <w:szCs w:val="18"/>
              </w:rPr>
            </w:pPr>
          </w:p>
        </w:tc>
      </w:tr>
      <w:tr w14:paraId="396B79E5">
        <w:tblPrEx>
          <w:tblCellMar>
            <w:top w:w="0" w:type="dxa"/>
            <w:left w:w="108" w:type="dxa"/>
            <w:bottom w:w="0" w:type="dxa"/>
            <w:right w:w="108" w:type="dxa"/>
          </w:tblCellMar>
        </w:tblPrEx>
        <w:trPr>
          <w:trHeight w:val="271" w:hRule="atLeast"/>
          <w:jc w:val="center"/>
        </w:trPr>
        <w:tc>
          <w:tcPr>
            <w:tcW w:w="463" w:type="dxa"/>
            <w:vMerge w:val="continue"/>
            <w:tcBorders>
              <w:left w:val="single" w:color="auto" w:sz="4" w:space="0"/>
              <w:bottom w:val="single" w:color="auto" w:sz="4" w:space="0"/>
              <w:right w:val="single" w:color="auto" w:sz="4" w:space="0"/>
            </w:tcBorders>
            <w:vAlign w:val="center"/>
          </w:tcPr>
          <w:p w14:paraId="454197C9">
            <w:pPr>
              <w:widowControl/>
              <w:jc w:val="left"/>
              <w:rPr>
                <w:rFonts w:ascii="宋体" w:hAnsi="宋体" w:eastAsia="宋体" w:cs="宋体"/>
                <w:kern w:val="0"/>
                <w:sz w:val="18"/>
                <w:szCs w:val="18"/>
              </w:rPr>
            </w:pPr>
          </w:p>
        </w:tc>
        <w:tc>
          <w:tcPr>
            <w:tcW w:w="426" w:type="dxa"/>
            <w:vMerge w:val="continue"/>
            <w:tcBorders>
              <w:left w:val="single" w:color="auto" w:sz="4" w:space="0"/>
              <w:bottom w:val="single" w:color="000000" w:sz="4" w:space="0"/>
              <w:right w:val="nil"/>
            </w:tcBorders>
            <w:vAlign w:val="center"/>
          </w:tcPr>
          <w:p w14:paraId="1B78033D">
            <w:pPr>
              <w:jc w:val="left"/>
              <w:rPr>
                <w:rFonts w:ascii="宋体" w:hAnsi="宋体" w:eastAsia="宋体" w:cs="宋体"/>
                <w:kern w:val="0"/>
                <w:sz w:val="18"/>
                <w:szCs w:val="18"/>
              </w:rPr>
            </w:pPr>
          </w:p>
        </w:tc>
        <w:tc>
          <w:tcPr>
            <w:tcW w:w="2993" w:type="dxa"/>
            <w:gridSpan w:val="3"/>
            <w:tcBorders>
              <w:top w:val="single" w:color="auto" w:sz="4" w:space="0"/>
              <w:left w:val="single" w:color="auto" w:sz="4" w:space="0"/>
              <w:bottom w:val="single" w:color="auto" w:sz="4" w:space="0"/>
              <w:right w:val="single" w:color="auto" w:sz="4" w:space="0"/>
            </w:tcBorders>
            <w:vAlign w:val="center"/>
          </w:tcPr>
          <w:p w14:paraId="548C40D7">
            <w:pPr>
              <w:widowControl/>
              <w:jc w:val="center"/>
              <w:rPr>
                <w:rFonts w:ascii="宋体" w:hAnsi="宋体" w:eastAsia="宋体" w:cs="宋体"/>
                <w:kern w:val="0"/>
                <w:sz w:val="18"/>
                <w:szCs w:val="18"/>
              </w:rPr>
            </w:pPr>
            <w:r>
              <w:rPr>
                <w:rFonts w:hint="eastAsia" w:ascii="宋体" w:hAnsi="宋体" w:eastAsia="宋体" w:cs="宋体"/>
                <w:kern w:val="0"/>
                <w:sz w:val="18"/>
                <w:szCs w:val="18"/>
              </w:rPr>
              <w:t>小计（占总课时比例33.62%）</w:t>
            </w:r>
          </w:p>
        </w:tc>
        <w:tc>
          <w:tcPr>
            <w:tcW w:w="731" w:type="dxa"/>
            <w:tcBorders>
              <w:top w:val="nil"/>
              <w:left w:val="nil"/>
              <w:bottom w:val="single" w:color="auto" w:sz="4" w:space="0"/>
              <w:right w:val="single" w:color="auto" w:sz="4" w:space="0"/>
            </w:tcBorders>
            <w:vAlign w:val="center"/>
          </w:tcPr>
          <w:p w14:paraId="0BACE6F3">
            <w:pPr>
              <w:widowControl/>
              <w:jc w:val="center"/>
              <w:rPr>
                <w:rFonts w:ascii="宋体" w:hAnsi="宋体" w:eastAsia="宋体" w:cs="宋体"/>
                <w:kern w:val="0"/>
                <w:sz w:val="18"/>
                <w:szCs w:val="18"/>
              </w:rPr>
            </w:pPr>
            <w:r>
              <w:rPr>
                <w:rFonts w:hint="eastAsia" w:ascii="宋体" w:hAnsi="宋体" w:eastAsia="宋体" w:cs="宋体"/>
                <w:kern w:val="0"/>
                <w:sz w:val="18"/>
                <w:szCs w:val="18"/>
              </w:rPr>
              <w:t>1074</w:t>
            </w:r>
          </w:p>
        </w:tc>
        <w:tc>
          <w:tcPr>
            <w:tcW w:w="613" w:type="dxa"/>
            <w:tcBorders>
              <w:top w:val="nil"/>
              <w:left w:val="nil"/>
              <w:bottom w:val="single" w:color="auto" w:sz="4" w:space="0"/>
              <w:right w:val="single" w:color="auto" w:sz="4" w:space="0"/>
            </w:tcBorders>
            <w:vAlign w:val="center"/>
          </w:tcPr>
          <w:p w14:paraId="0BFD0757">
            <w:pPr>
              <w:widowControl/>
              <w:jc w:val="center"/>
              <w:rPr>
                <w:rFonts w:ascii="宋体" w:hAnsi="宋体" w:eastAsia="宋体" w:cs="宋体"/>
                <w:kern w:val="0"/>
                <w:sz w:val="18"/>
                <w:szCs w:val="18"/>
              </w:rPr>
            </w:pPr>
            <w:r>
              <w:rPr>
                <w:rFonts w:hint="eastAsia" w:ascii="宋体" w:hAnsi="宋体" w:eastAsia="宋体" w:cs="宋体"/>
                <w:kern w:val="0"/>
                <w:sz w:val="18"/>
                <w:szCs w:val="18"/>
              </w:rPr>
              <w:t>47</w:t>
            </w:r>
          </w:p>
        </w:tc>
        <w:tc>
          <w:tcPr>
            <w:tcW w:w="705" w:type="dxa"/>
            <w:tcBorders>
              <w:top w:val="nil"/>
              <w:left w:val="single" w:color="auto" w:sz="4" w:space="0"/>
              <w:bottom w:val="single" w:color="auto" w:sz="4" w:space="0"/>
              <w:right w:val="single" w:color="auto" w:sz="4" w:space="0"/>
            </w:tcBorders>
            <w:vAlign w:val="center"/>
          </w:tcPr>
          <w:p w14:paraId="64EB7607">
            <w:pPr>
              <w:widowControl/>
              <w:jc w:val="center"/>
              <w:rPr>
                <w:rFonts w:ascii="宋体" w:hAnsi="宋体" w:eastAsia="宋体" w:cs="宋体"/>
                <w:kern w:val="0"/>
                <w:sz w:val="18"/>
                <w:szCs w:val="18"/>
              </w:rPr>
            </w:pPr>
            <w:r>
              <w:rPr>
                <w:rFonts w:hint="eastAsia" w:ascii="宋体" w:hAnsi="宋体" w:eastAsia="宋体" w:cs="宋体"/>
                <w:kern w:val="0"/>
                <w:sz w:val="18"/>
                <w:szCs w:val="18"/>
              </w:rPr>
              <w:t>1074</w:t>
            </w:r>
          </w:p>
        </w:tc>
        <w:tc>
          <w:tcPr>
            <w:tcW w:w="487" w:type="dxa"/>
            <w:tcBorders>
              <w:top w:val="nil"/>
              <w:left w:val="nil"/>
              <w:bottom w:val="single" w:color="auto" w:sz="4" w:space="0"/>
              <w:right w:val="single" w:color="auto" w:sz="4" w:space="0"/>
            </w:tcBorders>
            <w:vAlign w:val="center"/>
          </w:tcPr>
          <w:p w14:paraId="071BDFE9">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08BB5BF2">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239B2124">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E0824B2">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5790B5F4">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83CD322">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618D75B1">
            <w:pPr>
              <w:widowControl/>
              <w:jc w:val="center"/>
              <w:rPr>
                <w:rFonts w:ascii="宋体" w:hAnsi="宋体" w:eastAsia="宋体" w:cs="宋体"/>
                <w:kern w:val="0"/>
                <w:sz w:val="18"/>
                <w:szCs w:val="18"/>
              </w:rPr>
            </w:pPr>
          </w:p>
        </w:tc>
      </w:tr>
      <w:tr w14:paraId="54F35B1E">
        <w:tblPrEx>
          <w:tblCellMar>
            <w:top w:w="0" w:type="dxa"/>
            <w:left w:w="108" w:type="dxa"/>
            <w:bottom w:w="0" w:type="dxa"/>
            <w:right w:w="108" w:type="dxa"/>
          </w:tblCellMar>
        </w:tblPrEx>
        <w:trPr>
          <w:trHeight w:val="271" w:hRule="atLeast"/>
          <w:jc w:val="center"/>
        </w:trPr>
        <w:tc>
          <w:tcPr>
            <w:tcW w:w="889" w:type="dxa"/>
            <w:gridSpan w:val="2"/>
            <w:vMerge w:val="restart"/>
            <w:tcBorders>
              <w:top w:val="nil"/>
              <w:left w:val="single" w:color="auto" w:sz="4" w:space="0"/>
              <w:right w:val="single" w:color="auto" w:sz="4" w:space="0"/>
            </w:tcBorders>
            <w:vAlign w:val="center"/>
          </w:tcPr>
          <w:p w14:paraId="790DD978">
            <w:pPr>
              <w:widowControl/>
              <w:jc w:val="center"/>
              <w:rPr>
                <w:rFonts w:ascii="宋体" w:hAnsi="宋体" w:eastAsia="宋体" w:cs="宋体"/>
                <w:kern w:val="0"/>
                <w:sz w:val="18"/>
                <w:szCs w:val="18"/>
              </w:rPr>
            </w:pPr>
            <w:r>
              <w:rPr>
                <w:rFonts w:hint="eastAsia" w:ascii="宋体" w:hAnsi="宋体" w:eastAsia="宋体" w:cs="宋体"/>
                <w:kern w:val="0"/>
                <w:sz w:val="18"/>
                <w:szCs w:val="18"/>
              </w:rPr>
              <w:t>综合素养课程</w:t>
            </w:r>
          </w:p>
        </w:tc>
        <w:tc>
          <w:tcPr>
            <w:tcW w:w="1134" w:type="dxa"/>
            <w:tcBorders>
              <w:top w:val="nil"/>
              <w:left w:val="nil"/>
              <w:bottom w:val="single" w:color="auto" w:sz="4" w:space="0"/>
              <w:right w:val="nil"/>
            </w:tcBorders>
            <w:vAlign w:val="center"/>
          </w:tcPr>
          <w:p w14:paraId="4C61D1BD">
            <w:pPr>
              <w:widowControl/>
              <w:jc w:val="center"/>
              <w:rPr>
                <w:rFonts w:ascii="宋体" w:hAnsi="宋体" w:eastAsia="宋体" w:cs="宋体"/>
                <w:kern w:val="0"/>
                <w:sz w:val="18"/>
                <w:szCs w:val="18"/>
              </w:rPr>
            </w:pPr>
            <w:r>
              <w:rPr>
                <w:rFonts w:hint="eastAsia" w:ascii="宋体" w:hAnsi="宋体" w:eastAsia="宋体" w:cs="宋体"/>
                <w:kern w:val="0"/>
                <w:sz w:val="18"/>
                <w:szCs w:val="18"/>
              </w:rPr>
              <w:t>1013001</w:t>
            </w:r>
          </w:p>
        </w:tc>
        <w:tc>
          <w:tcPr>
            <w:tcW w:w="1859" w:type="dxa"/>
            <w:gridSpan w:val="2"/>
            <w:tcBorders>
              <w:top w:val="nil"/>
              <w:left w:val="single" w:color="auto" w:sz="4" w:space="0"/>
              <w:bottom w:val="single" w:color="auto" w:sz="4" w:space="0"/>
              <w:right w:val="single" w:color="auto" w:sz="4" w:space="0"/>
            </w:tcBorders>
            <w:vAlign w:val="center"/>
          </w:tcPr>
          <w:p w14:paraId="2059295B">
            <w:pPr>
              <w:widowControl/>
              <w:jc w:val="center"/>
              <w:rPr>
                <w:rFonts w:ascii="宋体" w:hAnsi="宋体" w:eastAsia="宋体" w:cs="宋体"/>
                <w:kern w:val="0"/>
                <w:sz w:val="18"/>
                <w:szCs w:val="18"/>
              </w:rPr>
            </w:pPr>
            <w:r>
              <w:rPr>
                <w:rFonts w:hint="eastAsia" w:ascii="宋体" w:hAnsi="宋体" w:eastAsia="宋体" w:cs="宋体"/>
                <w:kern w:val="0"/>
                <w:sz w:val="18"/>
                <w:szCs w:val="18"/>
              </w:rPr>
              <w:t>入学教育</w:t>
            </w:r>
          </w:p>
        </w:tc>
        <w:tc>
          <w:tcPr>
            <w:tcW w:w="731" w:type="dxa"/>
            <w:tcBorders>
              <w:top w:val="nil"/>
              <w:left w:val="nil"/>
              <w:bottom w:val="single" w:color="auto" w:sz="4" w:space="0"/>
              <w:right w:val="single" w:color="auto" w:sz="4" w:space="0"/>
            </w:tcBorders>
            <w:vAlign w:val="center"/>
          </w:tcPr>
          <w:p w14:paraId="52765B54">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613" w:type="dxa"/>
            <w:tcBorders>
              <w:top w:val="nil"/>
              <w:left w:val="nil"/>
              <w:bottom w:val="single" w:color="auto" w:sz="4" w:space="0"/>
              <w:right w:val="single" w:color="auto" w:sz="4" w:space="0"/>
            </w:tcBorders>
            <w:vAlign w:val="center"/>
          </w:tcPr>
          <w:p w14:paraId="6B183448">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46CA5482">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58C9338F">
            <w:pPr>
              <w:widowControl/>
              <w:jc w:val="center"/>
              <w:rPr>
                <w:rFonts w:ascii="宋体" w:hAnsi="宋体" w:eastAsia="宋体" w:cs="宋体"/>
                <w:kern w:val="0"/>
                <w:sz w:val="18"/>
                <w:szCs w:val="18"/>
              </w:rPr>
            </w:pPr>
            <w:r>
              <w:rPr>
                <w:rFonts w:ascii="Arial" w:hAnsi="Arial" w:eastAsia="宋体" w:cs="Arial"/>
                <w:color w:val="333333"/>
                <w:sz w:val="19"/>
                <w:szCs w:val="19"/>
                <w:shd w:val="clear" w:color="auto" w:fill="FFFFFF"/>
              </w:rPr>
              <w:t>√</w:t>
            </w:r>
          </w:p>
        </w:tc>
        <w:tc>
          <w:tcPr>
            <w:tcW w:w="651" w:type="dxa"/>
            <w:tcBorders>
              <w:top w:val="nil"/>
              <w:left w:val="nil"/>
              <w:bottom w:val="single" w:color="auto" w:sz="4" w:space="0"/>
              <w:right w:val="single" w:color="auto" w:sz="4" w:space="0"/>
            </w:tcBorders>
            <w:vAlign w:val="center"/>
          </w:tcPr>
          <w:p w14:paraId="2F5EF863">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7EEECD35">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BF5E9A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951F10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1624D3C9">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4123D8BD">
            <w:pPr>
              <w:widowControl/>
              <w:jc w:val="center"/>
              <w:rPr>
                <w:rFonts w:ascii="宋体" w:hAnsi="宋体" w:eastAsia="宋体" w:cs="宋体"/>
                <w:kern w:val="0"/>
                <w:sz w:val="18"/>
                <w:szCs w:val="18"/>
              </w:rPr>
            </w:pPr>
          </w:p>
        </w:tc>
      </w:tr>
      <w:tr w14:paraId="117B77B5">
        <w:tblPrEx>
          <w:tblCellMar>
            <w:top w:w="0" w:type="dxa"/>
            <w:left w:w="108" w:type="dxa"/>
            <w:bottom w:w="0" w:type="dxa"/>
            <w:right w:w="108" w:type="dxa"/>
          </w:tblCellMar>
        </w:tblPrEx>
        <w:trPr>
          <w:trHeight w:val="271" w:hRule="atLeast"/>
          <w:jc w:val="center"/>
        </w:trPr>
        <w:tc>
          <w:tcPr>
            <w:tcW w:w="889" w:type="dxa"/>
            <w:gridSpan w:val="2"/>
            <w:vMerge w:val="continue"/>
            <w:tcBorders>
              <w:left w:val="single" w:color="auto" w:sz="4" w:space="0"/>
              <w:right w:val="single" w:color="auto" w:sz="4" w:space="0"/>
            </w:tcBorders>
            <w:vAlign w:val="center"/>
          </w:tcPr>
          <w:p w14:paraId="433FE337">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709F9353">
            <w:pPr>
              <w:widowControl/>
              <w:jc w:val="center"/>
              <w:rPr>
                <w:rFonts w:ascii="宋体" w:hAnsi="宋体" w:eastAsia="宋体" w:cs="宋体"/>
                <w:kern w:val="0"/>
                <w:sz w:val="18"/>
                <w:szCs w:val="18"/>
              </w:rPr>
            </w:pPr>
          </w:p>
        </w:tc>
        <w:tc>
          <w:tcPr>
            <w:tcW w:w="1859" w:type="dxa"/>
            <w:gridSpan w:val="2"/>
            <w:tcBorders>
              <w:top w:val="nil"/>
              <w:left w:val="single" w:color="auto" w:sz="4" w:space="0"/>
              <w:bottom w:val="nil"/>
              <w:right w:val="single" w:color="auto" w:sz="4" w:space="0"/>
            </w:tcBorders>
            <w:vAlign w:val="center"/>
          </w:tcPr>
          <w:p w14:paraId="69701E93">
            <w:pPr>
              <w:widowControl/>
              <w:jc w:val="center"/>
              <w:rPr>
                <w:rFonts w:ascii="宋体" w:hAnsi="宋体" w:eastAsia="宋体" w:cs="宋体"/>
                <w:kern w:val="0"/>
                <w:sz w:val="18"/>
                <w:szCs w:val="18"/>
              </w:rPr>
            </w:pPr>
            <w:r>
              <w:rPr>
                <w:rFonts w:hint="eastAsia" w:ascii="宋体" w:hAnsi="宋体" w:eastAsia="宋体" w:cs="宋体"/>
                <w:kern w:val="0"/>
                <w:sz w:val="18"/>
                <w:szCs w:val="18"/>
              </w:rPr>
              <w:t>军训</w:t>
            </w:r>
          </w:p>
        </w:tc>
        <w:tc>
          <w:tcPr>
            <w:tcW w:w="731" w:type="dxa"/>
            <w:tcBorders>
              <w:top w:val="nil"/>
              <w:left w:val="nil"/>
              <w:bottom w:val="single" w:color="auto" w:sz="4" w:space="0"/>
              <w:right w:val="single" w:color="auto" w:sz="4" w:space="0"/>
            </w:tcBorders>
            <w:vAlign w:val="center"/>
          </w:tcPr>
          <w:p w14:paraId="24889C7F">
            <w:pPr>
              <w:widowControl/>
              <w:jc w:val="center"/>
              <w:rPr>
                <w:rFonts w:ascii="宋体" w:hAnsi="宋体" w:eastAsia="宋体" w:cs="宋体"/>
                <w:kern w:val="0"/>
                <w:sz w:val="18"/>
                <w:szCs w:val="18"/>
              </w:rPr>
            </w:pPr>
            <w:r>
              <w:rPr>
                <w:rFonts w:hint="eastAsia" w:ascii="宋体" w:hAnsi="宋体" w:eastAsia="宋体" w:cs="宋体"/>
                <w:kern w:val="0"/>
                <w:sz w:val="18"/>
                <w:szCs w:val="18"/>
              </w:rPr>
              <w:t>56</w:t>
            </w:r>
          </w:p>
        </w:tc>
        <w:tc>
          <w:tcPr>
            <w:tcW w:w="613" w:type="dxa"/>
            <w:tcBorders>
              <w:top w:val="nil"/>
              <w:left w:val="nil"/>
              <w:bottom w:val="single" w:color="auto" w:sz="4" w:space="0"/>
              <w:right w:val="single" w:color="auto" w:sz="4" w:space="0"/>
            </w:tcBorders>
            <w:vAlign w:val="center"/>
          </w:tcPr>
          <w:p w14:paraId="04D728B1">
            <w:pPr>
              <w:widowControl/>
              <w:jc w:val="center"/>
              <w:rPr>
                <w:rFonts w:ascii="宋体" w:hAnsi="宋体" w:eastAsia="宋体" w:cs="宋体"/>
                <w:kern w:val="0"/>
                <w:sz w:val="18"/>
                <w:szCs w:val="18"/>
              </w:rPr>
            </w:pPr>
            <w:r>
              <w:rPr>
                <w:rFonts w:ascii="宋体" w:hAnsi="宋体" w:eastAsia="宋体" w:cs="宋体"/>
                <w:kern w:val="0"/>
                <w:sz w:val="18"/>
                <w:szCs w:val="18"/>
              </w:rPr>
              <w:t>1</w:t>
            </w:r>
          </w:p>
        </w:tc>
        <w:tc>
          <w:tcPr>
            <w:tcW w:w="705" w:type="dxa"/>
            <w:tcBorders>
              <w:top w:val="nil"/>
              <w:left w:val="single" w:color="auto" w:sz="4" w:space="0"/>
              <w:bottom w:val="single" w:color="auto" w:sz="4" w:space="0"/>
              <w:right w:val="single" w:color="auto" w:sz="4" w:space="0"/>
            </w:tcBorders>
            <w:vAlign w:val="center"/>
          </w:tcPr>
          <w:p w14:paraId="68D24E58">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323676D3">
            <w:pPr>
              <w:widowControl/>
              <w:jc w:val="center"/>
              <w:rPr>
                <w:rFonts w:ascii="宋体" w:hAnsi="宋体" w:eastAsia="宋体" w:cs="宋体"/>
                <w:kern w:val="0"/>
                <w:sz w:val="18"/>
                <w:szCs w:val="18"/>
              </w:rPr>
            </w:pPr>
            <w:r>
              <w:rPr>
                <w:rFonts w:hint="eastAsia" w:ascii="宋体" w:hAnsi="宋体" w:eastAsia="宋体" w:cs="宋体"/>
                <w:kern w:val="0"/>
                <w:sz w:val="18"/>
                <w:szCs w:val="18"/>
              </w:rPr>
              <w:t>1W</w:t>
            </w:r>
          </w:p>
        </w:tc>
        <w:tc>
          <w:tcPr>
            <w:tcW w:w="651" w:type="dxa"/>
            <w:tcBorders>
              <w:top w:val="nil"/>
              <w:left w:val="nil"/>
              <w:bottom w:val="single" w:color="auto" w:sz="4" w:space="0"/>
              <w:right w:val="single" w:color="auto" w:sz="4" w:space="0"/>
            </w:tcBorders>
            <w:vAlign w:val="center"/>
          </w:tcPr>
          <w:p w14:paraId="7312AE1B">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13791F22">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49220B05">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4D6C82BD">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359D75F0">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7E95D9A6">
            <w:pPr>
              <w:widowControl/>
              <w:jc w:val="center"/>
              <w:rPr>
                <w:rFonts w:ascii="宋体" w:hAnsi="宋体" w:eastAsia="宋体" w:cs="宋体"/>
                <w:kern w:val="0"/>
                <w:sz w:val="18"/>
                <w:szCs w:val="18"/>
              </w:rPr>
            </w:pPr>
            <w:r>
              <w:rPr>
                <w:rFonts w:hint="eastAsia" w:cs="宋体" w:asciiTheme="minorEastAsia" w:hAnsiTheme="minorEastAsia"/>
                <w:szCs w:val="21"/>
              </w:rPr>
              <w:t>⊙</w:t>
            </w:r>
          </w:p>
        </w:tc>
      </w:tr>
      <w:tr w14:paraId="1972DF54">
        <w:tblPrEx>
          <w:tblCellMar>
            <w:top w:w="0" w:type="dxa"/>
            <w:left w:w="108" w:type="dxa"/>
            <w:bottom w:w="0" w:type="dxa"/>
            <w:right w:w="108" w:type="dxa"/>
          </w:tblCellMar>
        </w:tblPrEx>
        <w:trPr>
          <w:trHeight w:val="271" w:hRule="atLeast"/>
          <w:jc w:val="center"/>
        </w:trPr>
        <w:tc>
          <w:tcPr>
            <w:tcW w:w="889" w:type="dxa"/>
            <w:gridSpan w:val="2"/>
            <w:vMerge w:val="continue"/>
            <w:tcBorders>
              <w:left w:val="single" w:color="auto" w:sz="4" w:space="0"/>
              <w:right w:val="single" w:color="auto" w:sz="4" w:space="0"/>
            </w:tcBorders>
            <w:vAlign w:val="center"/>
          </w:tcPr>
          <w:p w14:paraId="0F5D04EC">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63B8B545">
            <w:pPr>
              <w:widowControl/>
              <w:jc w:val="center"/>
              <w:rPr>
                <w:rFonts w:ascii="宋体" w:hAnsi="宋体" w:eastAsia="宋体" w:cs="宋体"/>
                <w:kern w:val="0"/>
                <w:sz w:val="18"/>
                <w:szCs w:val="18"/>
              </w:rPr>
            </w:pPr>
            <w:r>
              <w:rPr>
                <w:rFonts w:hint="eastAsia" w:ascii="宋体" w:hAnsi="宋体" w:eastAsia="宋体" w:cs="宋体"/>
                <w:kern w:val="0"/>
                <w:sz w:val="18"/>
                <w:szCs w:val="18"/>
              </w:rPr>
              <w:t>1013004</w:t>
            </w:r>
          </w:p>
        </w:tc>
        <w:tc>
          <w:tcPr>
            <w:tcW w:w="1859" w:type="dxa"/>
            <w:gridSpan w:val="2"/>
            <w:tcBorders>
              <w:top w:val="single" w:color="auto" w:sz="4" w:space="0"/>
              <w:left w:val="single" w:color="auto" w:sz="4" w:space="0"/>
              <w:bottom w:val="single" w:color="auto" w:sz="4" w:space="0"/>
              <w:right w:val="single" w:color="auto" w:sz="4" w:space="0"/>
            </w:tcBorders>
            <w:vAlign w:val="center"/>
          </w:tcPr>
          <w:p w14:paraId="07B2103B">
            <w:pPr>
              <w:widowControl/>
              <w:jc w:val="center"/>
              <w:rPr>
                <w:rFonts w:ascii="宋体" w:hAnsi="宋体" w:eastAsia="宋体" w:cs="宋体"/>
                <w:kern w:val="0"/>
                <w:sz w:val="18"/>
                <w:szCs w:val="18"/>
              </w:rPr>
            </w:pPr>
            <w:r>
              <w:rPr>
                <w:rFonts w:hint="eastAsia" w:ascii="宋体" w:hAnsi="宋体" w:eastAsia="宋体" w:cs="宋体"/>
                <w:kern w:val="0"/>
                <w:sz w:val="18"/>
                <w:szCs w:val="18"/>
              </w:rPr>
              <w:t>社会实践</w:t>
            </w:r>
          </w:p>
        </w:tc>
        <w:tc>
          <w:tcPr>
            <w:tcW w:w="731" w:type="dxa"/>
            <w:tcBorders>
              <w:top w:val="nil"/>
              <w:left w:val="nil"/>
              <w:bottom w:val="single" w:color="auto" w:sz="4" w:space="0"/>
              <w:right w:val="single" w:color="auto" w:sz="4" w:space="0"/>
            </w:tcBorders>
            <w:vAlign w:val="center"/>
          </w:tcPr>
          <w:p w14:paraId="70B03F89">
            <w:pPr>
              <w:widowControl/>
              <w:jc w:val="center"/>
              <w:rPr>
                <w:rFonts w:ascii="宋体" w:hAnsi="宋体" w:eastAsia="宋体" w:cs="宋体"/>
                <w:kern w:val="0"/>
                <w:sz w:val="18"/>
                <w:szCs w:val="18"/>
              </w:rPr>
            </w:pPr>
          </w:p>
        </w:tc>
        <w:tc>
          <w:tcPr>
            <w:tcW w:w="613" w:type="dxa"/>
            <w:tcBorders>
              <w:top w:val="nil"/>
              <w:left w:val="nil"/>
              <w:bottom w:val="single" w:color="auto" w:sz="4" w:space="0"/>
              <w:right w:val="single" w:color="auto" w:sz="4" w:space="0"/>
            </w:tcBorders>
            <w:vAlign w:val="center"/>
          </w:tcPr>
          <w:p w14:paraId="483A4FDF">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5" w:type="dxa"/>
            <w:tcBorders>
              <w:top w:val="nil"/>
              <w:left w:val="single" w:color="auto" w:sz="4" w:space="0"/>
              <w:bottom w:val="single" w:color="auto" w:sz="4" w:space="0"/>
              <w:right w:val="single" w:color="auto" w:sz="4" w:space="0"/>
            </w:tcBorders>
            <w:vAlign w:val="center"/>
          </w:tcPr>
          <w:p w14:paraId="6890B20A">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170B3AE5">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3EDF1B09">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1706CDC9">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1DE81973">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6613282E">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26B51FE8">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0F6B6165">
            <w:pPr>
              <w:widowControl/>
              <w:jc w:val="center"/>
              <w:rPr>
                <w:rFonts w:ascii="宋体" w:hAnsi="宋体" w:eastAsia="宋体" w:cs="宋体"/>
                <w:kern w:val="0"/>
                <w:sz w:val="18"/>
                <w:szCs w:val="18"/>
              </w:rPr>
            </w:pPr>
            <w:r>
              <w:rPr>
                <w:rFonts w:hint="eastAsia" w:cs="宋体" w:asciiTheme="minorEastAsia" w:hAnsiTheme="minorEastAsia"/>
                <w:szCs w:val="21"/>
              </w:rPr>
              <w:t>⊙</w:t>
            </w:r>
          </w:p>
        </w:tc>
      </w:tr>
      <w:tr w14:paraId="336A39F9">
        <w:tblPrEx>
          <w:tblCellMar>
            <w:top w:w="0" w:type="dxa"/>
            <w:left w:w="108" w:type="dxa"/>
            <w:bottom w:w="0" w:type="dxa"/>
            <w:right w:w="108" w:type="dxa"/>
          </w:tblCellMar>
        </w:tblPrEx>
        <w:trPr>
          <w:trHeight w:val="271" w:hRule="atLeast"/>
          <w:jc w:val="center"/>
        </w:trPr>
        <w:tc>
          <w:tcPr>
            <w:tcW w:w="889" w:type="dxa"/>
            <w:gridSpan w:val="2"/>
            <w:vMerge w:val="continue"/>
            <w:tcBorders>
              <w:left w:val="single" w:color="auto" w:sz="4" w:space="0"/>
              <w:right w:val="single" w:color="auto" w:sz="4" w:space="0"/>
            </w:tcBorders>
            <w:vAlign w:val="center"/>
          </w:tcPr>
          <w:p w14:paraId="0666210D">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6246AABC">
            <w:pPr>
              <w:jc w:val="center"/>
              <w:rPr>
                <w:rFonts w:ascii="宋体" w:hAnsi="宋体" w:eastAsia="宋体" w:cs="宋体"/>
                <w:kern w:val="0"/>
                <w:sz w:val="18"/>
                <w:szCs w:val="18"/>
              </w:rPr>
            </w:pPr>
            <w:r>
              <w:rPr>
                <w:rFonts w:hint="eastAsia" w:ascii="宋体" w:hAnsi="宋体" w:eastAsia="宋体" w:cs="宋体"/>
                <w:kern w:val="0"/>
                <w:sz w:val="18"/>
                <w:szCs w:val="18"/>
              </w:rPr>
              <w:t>101300</w:t>
            </w:r>
            <w:r>
              <w:rPr>
                <w:rFonts w:ascii="宋体" w:hAnsi="宋体" w:eastAsia="宋体" w:cs="宋体"/>
                <w:kern w:val="0"/>
                <w:sz w:val="18"/>
                <w:szCs w:val="18"/>
              </w:rPr>
              <w:t>9</w:t>
            </w:r>
          </w:p>
        </w:tc>
        <w:tc>
          <w:tcPr>
            <w:tcW w:w="1859" w:type="dxa"/>
            <w:gridSpan w:val="2"/>
            <w:tcBorders>
              <w:top w:val="single" w:color="auto" w:sz="4" w:space="0"/>
              <w:left w:val="single" w:color="auto" w:sz="4" w:space="0"/>
              <w:bottom w:val="single" w:color="auto" w:sz="4" w:space="0"/>
              <w:right w:val="single" w:color="auto" w:sz="4" w:space="0"/>
            </w:tcBorders>
            <w:vAlign w:val="center"/>
          </w:tcPr>
          <w:p w14:paraId="21795733">
            <w:pPr>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劳动实践</w:t>
            </w:r>
          </w:p>
        </w:tc>
        <w:tc>
          <w:tcPr>
            <w:tcW w:w="731" w:type="dxa"/>
            <w:tcBorders>
              <w:top w:val="nil"/>
              <w:left w:val="nil"/>
              <w:bottom w:val="single" w:color="auto" w:sz="4" w:space="0"/>
              <w:right w:val="single" w:color="auto" w:sz="4" w:space="0"/>
            </w:tcBorders>
            <w:vAlign w:val="center"/>
          </w:tcPr>
          <w:p w14:paraId="75D4440D">
            <w:pPr>
              <w:widowControl/>
              <w:jc w:val="center"/>
              <w:rPr>
                <w:rFonts w:ascii="宋体" w:hAnsi="宋体" w:eastAsia="宋体" w:cs="宋体"/>
                <w:color w:val="000000" w:themeColor="text1"/>
                <w:kern w:val="0"/>
                <w:sz w:val="18"/>
                <w:szCs w:val="18"/>
                <w14:textFill>
                  <w14:solidFill>
                    <w14:schemeClr w14:val="tx1"/>
                  </w14:solidFill>
                </w14:textFill>
              </w:rPr>
            </w:pPr>
          </w:p>
        </w:tc>
        <w:tc>
          <w:tcPr>
            <w:tcW w:w="613" w:type="dxa"/>
            <w:tcBorders>
              <w:top w:val="nil"/>
              <w:left w:val="nil"/>
              <w:bottom w:val="single" w:color="auto" w:sz="4" w:space="0"/>
              <w:right w:val="single" w:color="auto" w:sz="4" w:space="0"/>
            </w:tcBorders>
            <w:vAlign w:val="center"/>
          </w:tcPr>
          <w:p w14:paraId="334F917C">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2</w:t>
            </w:r>
          </w:p>
        </w:tc>
        <w:tc>
          <w:tcPr>
            <w:tcW w:w="705" w:type="dxa"/>
            <w:tcBorders>
              <w:top w:val="nil"/>
              <w:left w:val="single" w:color="auto" w:sz="4" w:space="0"/>
              <w:bottom w:val="single" w:color="auto" w:sz="4" w:space="0"/>
              <w:right w:val="single" w:color="auto" w:sz="4" w:space="0"/>
            </w:tcBorders>
            <w:vAlign w:val="center"/>
          </w:tcPr>
          <w:p w14:paraId="43AF0ECB">
            <w:pPr>
              <w:widowControl/>
              <w:jc w:val="center"/>
              <w:rPr>
                <w:rFonts w:ascii="宋体" w:hAnsi="宋体" w:eastAsia="宋体" w:cs="宋体"/>
                <w:color w:val="000000" w:themeColor="text1"/>
                <w:kern w:val="0"/>
                <w:sz w:val="18"/>
                <w:szCs w:val="18"/>
                <w14:textFill>
                  <w14:solidFill>
                    <w14:schemeClr w14:val="tx1"/>
                  </w14:solidFill>
                </w14:textFill>
              </w:rPr>
            </w:pPr>
          </w:p>
        </w:tc>
        <w:tc>
          <w:tcPr>
            <w:tcW w:w="487" w:type="dxa"/>
            <w:tcBorders>
              <w:top w:val="nil"/>
              <w:left w:val="nil"/>
              <w:bottom w:val="single" w:color="auto" w:sz="4" w:space="0"/>
              <w:right w:val="single" w:color="auto" w:sz="4" w:space="0"/>
            </w:tcBorders>
            <w:vAlign w:val="center"/>
          </w:tcPr>
          <w:p w14:paraId="00B0F9EA">
            <w:pPr>
              <w:widowControl/>
              <w:jc w:val="center"/>
              <w:rPr>
                <w:rFonts w:ascii="宋体" w:hAnsi="宋体" w:eastAsia="宋体" w:cs="宋体"/>
                <w:color w:val="000000" w:themeColor="text1"/>
                <w:kern w:val="0"/>
                <w:sz w:val="18"/>
                <w:szCs w:val="18"/>
                <w14:textFill>
                  <w14:solidFill>
                    <w14:schemeClr w14:val="tx1"/>
                  </w14:solidFill>
                </w14:textFill>
              </w:rPr>
            </w:pPr>
          </w:p>
        </w:tc>
        <w:tc>
          <w:tcPr>
            <w:tcW w:w="651" w:type="dxa"/>
            <w:tcBorders>
              <w:top w:val="nil"/>
              <w:left w:val="nil"/>
              <w:bottom w:val="single" w:color="auto" w:sz="4" w:space="0"/>
              <w:right w:val="single" w:color="auto" w:sz="4" w:space="0"/>
            </w:tcBorders>
            <w:vAlign w:val="center"/>
          </w:tcPr>
          <w:p w14:paraId="67D23A7E">
            <w:pPr>
              <w:widowControl/>
              <w:jc w:val="center"/>
              <w:rPr>
                <w:rFonts w:ascii="宋体" w:hAnsi="宋体" w:eastAsia="宋体" w:cs="宋体"/>
                <w:color w:val="000000" w:themeColor="text1"/>
                <w:kern w:val="0"/>
                <w:sz w:val="18"/>
                <w:szCs w:val="18"/>
                <w14:textFill>
                  <w14:solidFill>
                    <w14:schemeClr w14:val="tx1"/>
                  </w14:solidFill>
                </w14:textFill>
              </w:rPr>
            </w:pPr>
            <w:r>
              <w:rPr>
                <w:rFonts w:ascii="Arial" w:hAnsi="Arial" w:eastAsia="宋体" w:cs="Arial"/>
                <w:color w:val="000000" w:themeColor="text1"/>
                <w:sz w:val="19"/>
                <w:szCs w:val="19"/>
                <w:shd w:val="clear" w:color="auto" w:fill="FFFFFF"/>
                <w14:textFill>
                  <w14:solidFill>
                    <w14:schemeClr w14:val="tx1"/>
                  </w14:solidFill>
                </w14:textFill>
              </w:rPr>
              <w:t>√</w:t>
            </w:r>
          </w:p>
        </w:tc>
        <w:tc>
          <w:tcPr>
            <w:tcW w:w="624" w:type="dxa"/>
            <w:tcBorders>
              <w:top w:val="nil"/>
              <w:left w:val="nil"/>
              <w:bottom w:val="single" w:color="auto" w:sz="4" w:space="0"/>
              <w:right w:val="single" w:color="auto" w:sz="4" w:space="0"/>
            </w:tcBorders>
            <w:vAlign w:val="center"/>
          </w:tcPr>
          <w:p w14:paraId="2CEEB770">
            <w:pPr>
              <w:widowControl/>
              <w:jc w:val="center"/>
              <w:rPr>
                <w:rFonts w:ascii="宋体" w:hAnsi="宋体" w:eastAsia="宋体" w:cs="宋体"/>
                <w:color w:val="000000" w:themeColor="text1"/>
                <w:kern w:val="0"/>
                <w:sz w:val="18"/>
                <w:szCs w:val="18"/>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14:paraId="0D48F36D">
            <w:pPr>
              <w:widowControl/>
              <w:jc w:val="center"/>
              <w:rPr>
                <w:rFonts w:ascii="宋体" w:hAnsi="宋体" w:eastAsia="宋体" w:cs="宋体"/>
                <w:color w:val="000000" w:themeColor="text1"/>
                <w:kern w:val="0"/>
                <w:sz w:val="18"/>
                <w:szCs w:val="18"/>
                <w14:textFill>
                  <w14:solidFill>
                    <w14:schemeClr w14:val="tx1"/>
                  </w14:solidFill>
                </w14:textFill>
              </w:rPr>
            </w:pPr>
            <w:r>
              <w:rPr>
                <w:rFonts w:ascii="Arial" w:hAnsi="Arial" w:eastAsia="宋体" w:cs="Arial"/>
                <w:color w:val="000000" w:themeColor="text1"/>
                <w:sz w:val="19"/>
                <w:szCs w:val="19"/>
                <w:shd w:val="clear" w:color="auto" w:fill="FFFFFF"/>
                <w14:textFill>
                  <w14:solidFill>
                    <w14:schemeClr w14:val="tx1"/>
                  </w14:solidFill>
                </w14:textFill>
              </w:rPr>
              <w:t>√</w:t>
            </w:r>
          </w:p>
        </w:tc>
        <w:tc>
          <w:tcPr>
            <w:tcW w:w="567" w:type="dxa"/>
            <w:tcBorders>
              <w:top w:val="nil"/>
              <w:left w:val="nil"/>
              <w:bottom w:val="single" w:color="auto" w:sz="4" w:space="0"/>
              <w:right w:val="single" w:color="auto" w:sz="4" w:space="0"/>
            </w:tcBorders>
            <w:vAlign w:val="center"/>
          </w:tcPr>
          <w:p w14:paraId="42B16CCB">
            <w:pPr>
              <w:widowControl/>
              <w:jc w:val="center"/>
              <w:rPr>
                <w:rFonts w:ascii="宋体" w:hAnsi="宋体" w:eastAsia="宋体" w:cs="宋体"/>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vAlign w:val="center"/>
          </w:tcPr>
          <w:p w14:paraId="7DCEF07F">
            <w:pPr>
              <w:widowControl/>
              <w:jc w:val="center"/>
              <w:rPr>
                <w:rFonts w:ascii="宋体" w:hAnsi="宋体" w:eastAsia="宋体" w:cs="宋体"/>
                <w:color w:val="000000" w:themeColor="text1"/>
                <w:kern w:val="0"/>
                <w:sz w:val="18"/>
                <w:szCs w:val="18"/>
                <w14:textFill>
                  <w14:solidFill>
                    <w14:schemeClr w14:val="tx1"/>
                  </w14:solidFill>
                </w14:textFill>
              </w:rPr>
            </w:pPr>
          </w:p>
        </w:tc>
        <w:tc>
          <w:tcPr>
            <w:tcW w:w="548" w:type="dxa"/>
            <w:tcBorders>
              <w:top w:val="nil"/>
              <w:left w:val="nil"/>
              <w:bottom w:val="single" w:color="auto" w:sz="4" w:space="0"/>
              <w:right w:val="single" w:color="auto" w:sz="4" w:space="0"/>
            </w:tcBorders>
          </w:tcPr>
          <w:p w14:paraId="0545525F">
            <w:pPr>
              <w:widowControl/>
              <w:jc w:val="center"/>
              <w:rPr>
                <w:rFonts w:cs="宋体" w:asciiTheme="minorEastAsia" w:hAnsiTheme="minorEastAsia"/>
                <w:szCs w:val="21"/>
              </w:rPr>
            </w:pPr>
          </w:p>
        </w:tc>
      </w:tr>
      <w:tr w14:paraId="2DB8BA2A">
        <w:tblPrEx>
          <w:tblCellMar>
            <w:top w:w="0" w:type="dxa"/>
            <w:left w:w="108" w:type="dxa"/>
            <w:bottom w:w="0" w:type="dxa"/>
            <w:right w:w="108" w:type="dxa"/>
          </w:tblCellMar>
        </w:tblPrEx>
        <w:trPr>
          <w:trHeight w:val="271" w:hRule="atLeast"/>
          <w:jc w:val="center"/>
        </w:trPr>
        <w:tc>
          <w:tcPr>
            <w:tcW w:w="889" w:type="dxa"/>
            <w:gridSpan w:val="2"/>
            <w:vMerge w:val="continue"/>
            <w:tcBorders>
              <w:left w:val="single" w:color="auto" w:sz="4" w:space="0"/>
              <w:right w:val="single" w:color="auto" w:sz="4" w:space="0"/>
            </w:tcBorders>
            <w:vAlign w:val="center"/>
          </w:tcPr>
          <w:p w14:paraId="03C54638">
            <w:pPr>
              <w:widowControl/>
              <w:jc w:val="left"/>
              <w:rPr>
                <w:rFonts w:ascii="宋体" w:hAnsi="宋体" w:eastAsia="宋体" w:cs="宋体"/>
                <w:kern w:val="0"/>
                <w:sz w:val="18"/>
                <w:szCs w:val="18"/>
              </w:rPr>
            </w:pPr>
          </w:p>
        </w:tc>
        <w:tc>
          <w:tcPr>
            <w:tcW w:w="1134" w:type="dxa"/>
            <w:tcBorders>
              <w:top w:val="nil"/>
              <w:left w:val="nil"/>
              <w:bottom w:val="single" w:color="auto" w:sz="4" w:space="0"/>
              <w:right w:val="nil"/>
            </w:tcBorders>
            <w:vAlign w:val="center"/>
          </w:tcPr>
          <w:p w14:paraId="6DA64531">
            <w:pPr>
              <w:widowControl/>
              <w:jc w:val="center"/>
              <w:rPr>
                <w:rFonts w:ascii="宋体" w:hAnsi="宋体" w:eastAsia="宋体" w:cs="宋体"/>
                <w:b/>
                <w:kern w:val="0"/>
                <w:sz w:val="18"/>
                <w:szCs w:val="18"/>
              </w:rPr>
            </w:pPr>
            <w:r>
              <w:rPr>
                <w:rFonts w:hint="eastAsia" w:ascii="宋体" w:hAnsi="宋体" w:eastAsia="宋体" w:cs="宋体"/>
                <w:kern w:val="0"/>
                <w:sz w:val="18"/>
                <w:szCs w:val="18"/>
              </w:rPr>
              <w:t>101300</w:t>
            </w:r>
            <w:r>
              <w:rPr>
                <w:rFonts w:ascii="宋体" w:hAnsi="宋体" w:eastAsia="宋体" w:cs="宋体"/>
                <w:kern w:val="0"/>
                <w:sz w:val="18"/>
                <w:szCs w:val="18"/>
              </w:rPr>
              <w:t>8</w:t>
            </w:r>
          </w:p>
        </w:tc>
        <w:tc>
          <w:tcPr>
            <w:tcW w:w="1859" w:type="dxa"/>
            <w:gridSpan w:val="2"/>
            <w:tcBorders>
              <w:top w:val="nil"/>
              <w:left w:val="single" w:color="auto" w:sz="4" w:space="0"/>
              <w:bottom w:val="single" w:color="auto" w:sz="4" w:space="0"/>
              <w:right w:val="single" w:color="auto" w:sz="4" w:space="0"/>
            </w:tcBorders>
            <w:vAlign w:val="center"/>
          </w:tcPr>
          <w:p w14:paraId="4D7A980C">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毕业教育</w:t>
            </w:r>
          </w:p>
        </w:tc>
        <w:tc>
          <w:tcPr>
            <w:tcW w:w="731" w:type="dxa"/>
            <w:tcBorders>
              <w:top w:val="nil"/>
              <w:left w:val="nil"/>
              <w:bottom w:val="single" w:color="auto" w:sz="4" w:space="0"/>
              <w:right w:val="single" w:color="auto" w:sz="4" w:space="0"/>
            </w:tcBorders>
            <w:vAlign w:val="center"/>
          </w:tcPr>
          <w:p w14:paraId="2241126E">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30</w:t>
            </w:r>
          </w:p>
        </w:tc>
        <w:tc>
          <w:tcPr>
            <w:tcW w:w="613" w:type="dxa"/>
            <w:tcBorders>
              <w:top w:val="nil"/>
              <w:left w:val="nil"/>
              <w:bottom w:val="single" w:color="auto" w:sz="4" w:space="0"/>
              <w:right w:val="single" w:color="auto" w:sz="4" w:space="0"/>
            </w:tcBorders>
            <w:vAlign w:val="center"/>
          </w:tcPr>
          <w:p w14:paraId="5A24C1EE">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p>
        </w:tc>
        <w:tc>
          <w:tcPr>
            <w:tcW w:w="705" w:type="dxa"/>
            <w:tcBorders>
              <w:top w:val="nil"/>
              <w:left w:val="single" w:color="auto" w:sz="4" w:space="0"/>
              <w:bottom w:val="single" w:color="auto" w:sz="4" w:space="0"/>
              <w:right w:val="single" w:color="auto" w:sz="4" w:space="0"/>
            </w:tcBorders>
            <w:vAlign w:val="center"/>
          </w:tcPr>
          <w:p w14:paraId="25AD6C05">
            <w:pPr>
              <w:widowControl/>
              <w:jc w:val="center"/>
              <w:rPr>
                <w:rFonts w:ascii="宋体" w:hAnsi="宋体" w:eastAsia="宋体" w:cs="宋体"/>
                <w:color w:val="000000" w:themeColor="text1"/>
                <w:kern w:val="0"/>
                <w:sz w:val="18"/>
                <w:szCs w:val="18"/>
                <w14:textFill>
                  <w14:solidFill>
                    <w14:schemeClr w14:val="tx1"/>
                  </w14:solidFill>
                </w14:textFill>
              </w:rPr>
            </w:pPr>
          </w:p>
        </w:tc>
        <w:tc>
          <w:tcPr>
            <w:tcW w:w="487" w:type="dxa"/>
            <w:tcBorders>
              <w:top w:val="nil"/>
              <w:left w:val="nil"/>
              <w:bottom w:val="single" w:color="auto" w:sz="4" w:space="0"/>
              <w:right w:val="single" w:color="auto" w:sz="4" w:space="0"/>
            </w:tcBorders>
            <w:vAlign w:val="center"/>
          </w:tcPr>
          <w:p w14:paraId="28F2E71B">
            <w:pPr>
              <w:widowControl/>
              <w:jc w:val="center"/>
              <w:rPr>
                <w:rFonts w:ascii="宋体" w:hAnsi="宋体" w:eastAsia="宋体" w:cs="宋体"/>
                <w:color w:val="000000" w:themeColor="text1"/>
                <w:kern w:val="0"/>
                <w:sz w:val="18"/>
                <w:szCs w:val="18"/>
                <w14:textFill>
                  <w14:solidFill>
                    <w14:schemeClr w14:val="tx1"/>
                  </w14:solidFill>
                </w14:textFill>
              </w:rPr>
            </w:pPr>
          </w:p>
        </w:tc>
        <w:tc>
          <w:tcPr>
            <w:tcW w:w="651" w:type="dxa"/>
            <w:tcBorders>
              <w:top w:val="nil"/>
              <w:left w:val="nil"/>
              <w:bottom w:val="single" w:color="auto" w:sz="4" w:space="0"/>
              <w:right w:val="single" w:color="auto" w:sz="4" w:space="0"/>
            </w:tcBorders>
            <w:vAlign w:val="center"/>
          </w:tcPr>
          <w:p w14:paraId="68E1008B">
            <w:pPr>
              <w:widowControl/>
              <w:jc w:val="center"/>
              <w:rPr>
                <w:rFonts w:ascii="宋体" w:hAnsi="宋体" w:eastAsia="宋体" w:cs="宋体"/>
                <w:color w:val="000000" w:themeColor="text1"/>
                <w:kern w:val="0"/>
                <w:sz w:val="18"/>
                <w:szCs w:val="18"/>
                <w14:textFill>
                  <w14:solidFill>
                    <w14:schemeClr w14:val="tx1"/>
                  </w14:solidFill>
                </w14:textFill>
              </w:rPr>
            </w:pPr>
          </w:p>
        </w:tc>
        <w:tc>
          <w:tcPr>
            <w:tcW w:w="624" w:type="dxa"/>
            <w:tcBorders>
              <w:top w:val="nil"/>
              <w:left w:val="nil"/>
              <w:bottom w:val="single" w:color="auto" w:sz="4" w:space="0"/>
              <w:right w:val="single" w:color="auto" w:sz="4" w:space="0"/>
            </w:tcBorders>
            <w:vAlign w:val="center"/>
          </w:tcPr>
          <w:p w14:paraId="7DECA09C">
            <w:pPr>
              <w:widowControl/>
              <w:jc w:val="center"/>
              <w:rPr>
                <w:rFonts w:ascii="宋体" w:hAnsi="宋体" w:eastAsia="宋体" w:cs="宋体"/>
                <w:color w:val="000000" w:themeColor="text1"/>
                <w:kern w:val="0"/>
                <w:sz w:val="18"/>
                <w:szCs w:val="18"/>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14:paraId="7FD93A2C">
            <w:pPr>
              <w:widowControl/>
              <w:jc w:val="center"/>
              <w:rPr>
                <w:rFonts w:ascii="宋体" w:hAnsi="宋体" w:eastAsia="宋体" w:cs="宋体"/>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vAlign w:val="center"/>
          </w:tcPr>
          <w:p w14:paraId="1FB39076">
            <w:pPr>
              <w:widowControl/>
              <w:jc w:val="center"/>
              <w:rPr>
                <w:rFonts w:ascii="宋体" w:hAnsi="宋体" w:eastAsia="宋体" w:cs="宋体"/>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vAlign w:val="center"/>
          </w:tcPr>
          <w:p w14:paraId="4266CD5B">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ascii="宋体" w:hAnsi="宋体" w:eastAsia="宋体" w:cs="宋体"/>
                <w:color w:val="000000" w:themeColor="text1"/>
                <w:kern w:val="0"/>
                <w:sz w:val="18"/>
                <w:szCs w:val="18"/>
                <w14:textFill>
                  <w14:solidFill>
                    <w14:schemeClr w14:val="tx1"/>
                  </w14:solidFill>
                </w14:textFill>
              </w:rPr>
              <w:t>W</w:t>
            </w:r>
          </w:p>
        </w:tc>
        <w:tc>
          <w:tcPr>
            <w:tcW w:w="548" w:type="dxa"/>
            <w:tcBorders>
              <w:top w:val="nil"/>
              <w:left w:val="nil"/>
              <w:bottom w:val="single" w:color="auto" w:sz="4" w:space="0"/>
              <w:right w:val="single" w:color="auto" w:sz="4" w:space="0"/>
            </w:tcBorders>
          </w:tcPr>
          <w:p w14:paraId="5CF07693">
            <w:pPr>
              <w:widowControl/>
              <w:jc w:val="center"/>
              <w:rPr>
                <w:rFonts w:cs="宋体" w:asciiTheme="minorEastAsia" w:hAnsiTheme="minorEastAsia"/>
                <w:szCs w:val="21"/>
              </w:rPr>
            </w:pPr>
          </w:p>
        </w:tc>
      </w:tr>
      <w:tr w14:paraId="314A42C4">
        <w:tblPrEx>
          <w:tblCellMar>
            <w:top w:w="0" w:type="dxa"/>
            <w:left w:w="108" w:type="dxa"/>
            <w:bottom w:w="0" w:type="dxa"/>
            <w:right w:w="108" w:type="dxa"/>
          </w:tblCellMar>
        </w:tblPrEx>
        <w:trPr>
          <w:trHeight w:val="407" w:hRule="atLeast"/>
          <w:jc w:val="center"/>
        </w:trPr>
        <w:tc>
          <w:tcPr>
            <w:tcW w:w="889" w:type="dxa"/>
            <w:gridSpan w:val="2"/>
            <w:vMerge w:val="continue"/>
            <w:tcBorders>
              <w:left w:val="single" w:color="auto" w:sz="4" w:space="0"/>
              <w:bottom w:val="single" w:color="auto" w:sz="4" w:space="0"/>
              <w:right w:val="single" w:color="auto" w:sz="4" w:space="0"/>
            </w:tcBorders>
            <w:vAlign w:val="center"/>
          </w:tcPr>
          <w:p w14:paraId="46A5A0F8">
            <w:pPr>
              <w:widowControl/>
              <w:jc w:val="left"/>
              <w:rPr>
                <w:rFonts w:ascii="宋体" w:hAnsi="宋体" w:eastAsia="宋体" w:cs="宋体"/>
                <w:kern w:val="0"/>
                <w:sz w:val="18"/>
                <w:szCs w:val="18"/>
              </w:rPr>
            </w:pPr>
          </w:p>
        </w:tc>
        <w:tc>
          <w:tcPr>
            <w:tcW w:w="2993" w:type="dxa"/>
            <w:gridSpan w:val="3"/>
            <w:tcBorders>
              <w:top w:val="single" w:color="auto" w:sz="4" w:space="0"/>
              <w:left w:val="nil"/>
              <w:bottom w:val="single" w:color="auto" w:sz="4" w:space="0"/>
              <w:right w:val="single" w:color="auto" w:sz="4" w:space="0"/>
            </w:tcBorders>
            <w:vAlign w:val="center"/>
          </w:tcPr>
          <w:p w14:paraId="4AB3AB76">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小计（占总课时比例3.25%）</w:t>
            </w:r>
          </w:p>
        </w:tc>
        <w:tc>
          <w:tcPr>
            <w:tcW w:w="731" w:type="dxa"/>
            <w:tcBorders>
              <w:top w:val="nil"/>
              <w:left w:val="nil"/>
              <w:bottom w:val="single" w:color="auto" w:sz="4" w:space="0"/>
              <w:right w:val="single" w:color="auto" w:sz="4" w:space="0"/>
            </w:tcBorders>
            <w:vAlign w:val="center"/>
          </w:tcPr>
          <w:p w14:paraId="1105F6D1">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104</w:t>
            </w:r>
          </w:p>
        </w:tc>
        <w:tc>
          <w:tcPr>
            <w:tcW w:w="613" w:type="dxa"/>
            <w:tcBorders>
              <w:top w:val="nil"/>
              <w:left w:val="nil"/>
              <w:bottom w:val="single" w:color="auto" w:sz="4" w:space="0"/>
              <w:right w:val="single" w:color="auto" w:sz="4" w:space="0"/>
            </w:tcBorders>
            <w:vAlign w:val="center"/>
          </w:tcPr>
          <w:p w14:paraId="16412AC3">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7</w:t>
            </w:r>
          </w:p>
        </w:tc>
        <w:tc>
          <w:tcPr>
            <w:tcW w:w="705" w:type="dxa"/>
            <w:tcBorders>
              <w:top w:val="nil"/>
              <w:left w:val="single" w:color="auto" w:sz="4" w:space="0"/>
              <w:bottom w:val="single" w:color="auto" w:sz="4" w:space="0"/>
              <w:right w:val="single" w:color="auto" w:sz="4" w:space="0"/>
            </w:tcBorders>
            <w:vAlign w:val="center"/>
          </w:tcPr>
          <w:p w14:paraId="5BBFC489">
            <w:pPr>
              <w:widowControl/>
              <w:jc w:val="center"/>
              <w:rPr>
                <w:rFonts w:ascii="宋体" w:hAnsi="宋体" w:eastAsia="宋体" w:cs="宋体"/>
                <w:color w:val="000000" w:themeColor="text1"/>
                <w:kern w:val="0"/>
                <w:sz w:val="18"/>
                <w:szCs w:val="18"/>
                <w14:textFill>
                  <w14:solidFill>
                    <w14:schemeClr w14:val="tx1"/>
                  </w14:solidFill>
                </w14:textFill>
              </w:rPr>
            </w:pPr>
          </w:p>
        </w:tc>
        <w:tc>
          <w:tcPr>
            <w:tcW w:w="487" w:type="dxa"/>
            <w:tcBorders>
              <w:top w:val="nil"/>
              <w:left w:val="nil"/>
              <w:bottom w:val="single" w:color="auto" w:sz="4" w:space="0"/>
              <w:right w:val="single" w:color="auto" w:sz="4" w:space="0"/>
            </w:tcBorders>
            <w:vAlign w:val="center"/>
          </w:tcPr>
          <w:p w14:paraId="7DA5AAD2">
            <w:pPr>
              <w:widowControl/>
              <w:jc w:val="center"/>
              <w:rPr>
                <w:rFonts w:ascii="宋体" w:hAnsi="宋体" w:eastAsia="宋体" w:cs="宋体"/>
                <w:color w:val="000000" w:themeColor="text1"/>
                <w:kern w:val="0"/>
                <w:sz w:val="18"/>
                <w:szCs w:val="18"/>
                <w14:textFill>
                  <w14:solidFill>
                    <w14:schemeClr w14:val="tx1"/>
                  </w14:solidFill>
                </w14:textFill>
              </w:rPr>
            </w:pPr>
          </w:p>
        </w:tc>
        <w:tc>
          <w:tcPr>
            <w:tcW w:w="651" w:type="dxa"/>
            <w:tcBorders>
              <w:top w:val="nil"/>
              <w:left w:val="nil"/>
              <w:bottom w:val="single" w:color="auto" w:sz="4" w:space="0"/>
              <w:right w:val="single" w:color="auto" w:sz="4" w:space="0"/>
            </w:tcBorders>
            <w:vAlign w:val="center"/>
          </w:tcPr>
          <w:p w14:paraId="1A27F758">
            <w:pPr>
              <w:widowControl/>
              <w:jc w:val="center"/>
              <w:rPr>
                <w:rFonts w:ascii="宋体" w:hAnsi="宋体" w:eastAsia="宋体" w:cs="宋体"/>
                <w:color w:val="000000" w:themeColor="text1"/>
                <w:kern w:val="0"/>
                <w:sz w:val="18"/>
                <w:szCs w:val="18"/>
                <w14:textFill>
                  <w14:solidFill>
                    <w14:schemeClr w14:val="tx1"/>
                  </w14:solidFill>
                </w14:textFill>
              </w:rPr>
            </w:pPr>
          </w:p>
        </w:tc>
        <w:tc>
          <w:tcPr>
            <w:tcW w:w="624" w:type="dxa"/>
            <w:tcBorders>
              <w:top w:val="nil"/>
              <w:left w:val="nil"/>
              <w:bottom w:val="single" w:color="auto" w:sz="4" w:space="0"/>
              <w:right w:val="single" w:color="auto" w:sz="4" w:space="0"/>
            </w:tcBorders>
            <w:vAlign w:val="center"/>
          </w:tcPr>
          <w:p w14:paraId="339EB0E2">
            <w:pPr>
              <w:widowControl/>
              <w:jc w:val="center"/>
              <w:rPr>
                <w:rFonts w:ascii="宋体" w:hAnsi="宋体" w:eastAsia="宋体" w:cs="宋体"/>
                <w:color w:val="000000" w:themeColor="text1"/>
                <w:kern w:val="0"/>
                <w:sz w:val="18"/>
                <w:szCs w:val="18"/>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14:paraId="4B4E9DA9">
            <w:pPr>
              <w:widowControl/>
              <w:jc w:val="center"/>
              <w:rPr>
                <w:rFonts w:ascii="宋体" w:hAnsi="宋体" w:eastAsia="宋体" w:cs="宋体"/>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vAlign w:val="center"/>
          </w:tcPr>
          <w:p w14:paraId="559E4ACF">
            <w:pPr>
              <w:widowControl/>
              <w:jc w:val="center"/>
              <w:rPr>
                <w:rFonts w:ascii="宋体" w:hAnsi="宋体" w:eastAsia="宋体" w:cs="宋体"/>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vAlign w:val="center"/>
          </w:tcPr>
          <w:p w14:paraId="1AB1D378">
            <w:pPr>
              <w:widowControl/>
              <w:jc w:val="center"/>
              <w:rPr>
                <w:rFonts w:ascii="宋体" w:hAnsi="宋体" w:eastAsia="宋体" w:cs="宋体"/>
                <w:color w:val="000000" w:themeColor="text1"/>
                <w:kern w:val="0"/>
                <w:sz w:val="18"/>
                <w:szCs w:val="18"/>
                <w14:textFill>
                  <w14:solidFill>
                    <w14:schemeClr w14:val="tx1"/>
                  </w14:solidFill>
                </w14:textFill>
              </w:rPr>
            </w:pPr>
          </w:p>
        </w:tc>
        <w:tc>
          <w:tcPr>
            <w:tcW w:w="548" w:type="dxa"/>
            <w:tcBorders>
              <w:top w:val="nil"/>
              <w:left w:val="nil"/>
              <w:bottom w:val="single" w:color="auto" w:sz="4" w:space="0"/>
              <w:right w:val="single" w:color="auto" w:sz="4" w:space="0"/>
            </w:tcBorders>
          </w:tcPr>
          <w:p w14:paraId="219D36EF">
            <w:pPr>
              <w:widowControl/>
              <w:jc w:val="center"/>
              <w:rPr>
                <w:rFonts w:ascii="宋体" w:hAnsi="宋体" w:eastAsia="宋体" w:cs="宋体"/>
                <w:kern w:val="0"/>
                <w:sz w:val="18"/>
                <w:szCs w:val="18"/>
              </w:rPr>
            </w:pPr>
          </w:p>
        </w:tc>
      </w:tr>
      <w:tr w14:paraId="55D26BCC">
        <w:tblPrEx>
          <w:tblCellMar>
            <w:top w:w="0" w:type="dxa"/>
            <w:left w:w="108" w:type="dxa"/>
            <w:bottom w:w="0" w:type="dxa"/>
            <w:right w:w="108" w:type="dxa"/>
          </w:tblCellMar>
        </w:tblPrEx>
        <w:trPr>
          <w:trHeight w:val="271" w:hRule="atLeast"/>
          <w:jc w:val="center"/>
        </w:trPr>
        <w:tc>
          <w:tcPr>
            <w:tcW w:w="3882" w:type="dxa"/>
            <w:gridSpan w:val="5"/>
            <w:tcBorders>
              <w:top w:val="single" w:color="auto" w:sz="4" w:space="0"/>
              <w:left w:val="single" w:color="auto" w:sz="4" w:space="0"/>
              <w:bottom w:val="single" w:color="auto" w:sz="4" w:space="0"/>
              <w:right w:val="single" w:color="auto" w:sz="4" w:space="0"/>
            </w:tcBorders>
            <w:vAlign w:val="center"/>
          </w:tcPr>
          <w:p w14:paraId="3E87B790">
            <w:pPr>
              <w:widowControl/>
              <w:jc w:val="center"/>
              <w:rPr>
                <w:rFonts w:ascii="宋体" w:hAnsi="宋体" w:eastAsia="宋体" w:cs="宋体"/>
                <w:kern w:val="0"/>
                <w:sz w:val="18"/>
                <w:szCs w:val="18"/>
              </w:rPr>
            </w:pPr>
            <w:r>
              <w:rPr>
                <w:rFonts w:hint="eastAsia" w:ascii="宋体" w:hAnsi="宋体" w:eastAsia="宋体" w:cs="宋体"/>
                <w:kern w:val="0"/>
                <w:sz w:val="18"/>
                <w:szCs w:val="18"/>
              </w:rPr>
              <w:t>周学时及学分合计</w:t>
            </w:r>
          </w:p>
        </w:tc>
        <w:tc>
          <w:tcPr>
            <w:tcW w:w="731" w:type="dxa"/>
            <w:tcBorders>
              <w:top w:val="nil"/>
              <w:left w:val="nil"/>
              <w:bottom w:val="single" w:color="auto" w:sz="4" w:space="0"/>
              <w:right w:val="single" w:color="auto" w:sz="4" w:space="0"/>
            </w:tcBorders>
            <w:vAlign w:val="center"/>
          </w:tcPr>
          <w:p w14:paraId="1C389096">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3</w:t>
            </w:r>
            <w:r>
              <w:rPr>
                <w:rFonts w:hint="eastAsia" w:ascii="宋体" w:hAnsi="宋体" w:eastAsia="宋体" w:cs="宋体"/>
                <w:kern w:val="0"/>
                <w:sz w:val="18"/>
                <w:szCs w:val="18"/>
                <w:lang w:val="en-US" w:eastAsia="zh-CN"/>
              </w:rPr>
              <w:t>230</w:t>
            </w:r>
          </w:p>
        </w:tc>
        <w:tc>
          <w:tcPr>
            <w:tcW w:w="613" w:type="dxa"/>
            <w:tcBorders>
              <w:top w:val="nil"/>
              <w:left w:val="nil"/>
              <w:bottom w:val="single" w:color="auto" w:sz="4" w:space="0"/>
              <w:right w:val="single" w:color="auto" w:sz="4" w:space="0"/>
            </w:tcBorders>
          </w:tcPr>
          <w:p w14:paraId="3D05EF5F">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68</w:t>
            </w:r>
          </w:p>
        </w:tc>
        <w:tc>
          <w:tcPr>
            <w:tcW w:w="705" w:type="dxa"/>
            <w:tcBorders>
              <w:top w:val="nil"/>
              <w:left w:val="single" w:color="auto" w:sz="4" w:space="0"/>
              <w:bottom w:val="single" w:color="auto" w:sz="4" w:space="0"/>
              <w:right w:val="single" w:color="auto" w:sz="4" w:space="0"/>
            </w:tcBorders>
            <w:vAlign w:val="center"/>
          </w:tcPr>
          <w:p w14:paraId="534000F1">
            <w:pPr>
              <w:widowControl/>
              <w:jc w:val="center"/>
              <w:rPr>
                <w:rFonts w:ascii="宋体" w:hAnsi="宋体" w:eastAsia="宋体" w:cs="宋体"/>
                <w:kern w:val="0"/>
                <w:sz w:val="18"/>
                <w:szCs w:val="18"/>
              </w:rPr>
            </w:pPr>
          </w:p>
        </w:tc>
        <w:tc>
          <w:tcPr>
            <w:tcW w:w="487" w:type="dxa"/>
            <w:tcBorders>
              <w:top w:val="nil"/>
              <w:left w:val="nil"/>
              <w:bottom w:val="single" w:color="auto" w:sz="4" w:space="0"/>
              <w:right w:val="single" w:color="auto" w:sz="4" w:space="0"/>
            </w:tcBorders>
            <w:vAlign w:val="center"/>
          </w:tcPr>
          <w:p w14:paraId="6EACA6CE">
            <w:pPr>
              <w:widowControl/>
              <w:jc w:val="center"/>
              <w:rPr>
                <w:rFonts w:ascii="宋体" w:hAnsi="宋体" w:eastAsia="宋体" w:cs="宋体"/>
                <w:kern w:val="0"/>
                <w:sz w:val="18"/>
                <w:szCs w:val="18"/>
              </w:rPr>
            </w:pPr>
          </w:p>
        </w:tc>
        <w:tc>
          <w:tcPr>
            <w:tcW w:w="651" w:type="dxa"/>
            <w:tcBorders>
              <w:top w:val="nil"/>
              <w:left w:val="nil"/>
              <w:bottom w:val="single" w:color="auto" w:sz="4" w:space="0"/>
              <w:right w:val="single" w:color="auto" w:sz="4" w:space="0"/>
            </w:tcBorders>
            <w:vAlign w:val="center"/>
          </w:tcPr>
          <w:p w14:paraId="4F945BE1">
            <w:pPr>
              <w:widowControl/>
              <w:jc w:val="center"/>
              <w:rPr>
                <w:rFonts w:ascii="宋体" w:hAnsi="宋体" w:eastAsia="宋体" w:cs="宋体"/>
                <w:kern w:val="0"/>
                <w:sz w:val="18"/>
                <w:szCs w:val="18"/>
              </w:rPr>
            </w:pPr>
          </w:p>
        </w:tc>
        <w:tc>
          <w:tcPr>
            <w:tcW w:w="624" w:type="dxa"/>
            <w:tcBorders>
              <w:top w:val="nil"/>
              <w:left w:val="nil"/>
              <w:bottom w:val="single" w:color="auto" w:sz="4" w:space="0"/>
              <w:right w:val="single" w:color="auto" w:sz="4" w:space="0"/>
            </w:tcBorders>
            <w:vAlign w:val="center"/>
          </w:tcPr>
          <w:p w14:paraId="50E8BDCB">
            <w:pPr>
              <w:widowControl/>
              <w:jc w:val="center"/>
              <w:rPr>
                <w:rFonts w:ascii="宋体" w:hAnsi="宋体" w:eastAsia="宋体" w:cs="宋体"/>
                <w:kern w:val="0"/>
                <w:sz w:val="18"/>
                <w:szCs w:val="18"/>
              </w:rPr>
            </w:pPr>
          </w:p>
        </w:tc>
        <w:tc>
          <w:tcPr>
            <w:tcW w:w="709" w:type="dxa"/>
            <w:tcBorders>
              <w:top w:val="nil"/>
              <w:left w:val="nil"/>
              <w:bottom w:val="single" w:color="auto" w:sz="4" w:space="0"/>
              <w:right w:val="single" w:color="auto" w:sz="4" w:space="0"/>
            </w:tcBorders>
            <w:vAlign w:val="center"/>
          </w:tcPr>
          <w:p w14:paraId="23D4439F">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0E29AF87">
            <w:pPr>
              <w:widowControl/>
              <w:jc w:val="center"/>
              <w:rPr>
                <w:rFonts w:ascii="宋体" w:hAnsi="宋体" w:eastAsia="宋体" w:cs="宋体"/>
                <w:kern w:val="0"/>
                <w:sz w:val="18"/>
                <w:szCs w:val="18"/>
              </w:rPr>
            </w:pPr>
          </w:p>
        </w:tc>
        <w:tc>
          <w:tcPr>
            <w:tcW w:w="567" w:type="dxa"/>
            <w:tcBorders>
              <w:top w:val="nil"/>
              <w:left w:val="nil"/>
              <w:bottom w:val="single" w:color="auto" w:sz="4" w:space="0"/>
              <w:right w:val="single" w:color="auto" w:sz="4" w:space="0"/>
            </w:tcBorders>
            <w:vAlign w:val="center"/>
          </w:tcPr>
          <w:p w14:paraId="762887DC">
            <w:pPr>
              <w:widowControl/>
              <w:jc w:val="center"/>
              <w:rPr>
                <w:rFonts w:ascii="宋体" w:hAnsi="宋体" w:eastAsia="宋体" w:cs="宋体"/>
                <w:kern w:val="0"/>
                <w:sz w:val="18"/>
                <w:szCs w:val="18"/>
              </w:rPr>
            </w:pPr>
          </w:p>
        </w:tc>
        <w:tc>
          <w:tcPr>
            <w:tcW w:w="548" w:type="dxa"/>
            <w:tcBorders>
              <w:top w:val="nil"/>
              <w:left w:val="nil"/>
              <w:bottom w:val="single" w:color="auto" w:sz="4" w:space="0"/>
              <w:right w:val="single" w:color="auto" w:sz="4" w:space="0"/>
            </w:tcBorders>
          </w:tcPr>
          <w:p w14:paraId="3C84BA87">
            <w:pPr>
              <w:widowControl/>
              <w:jc w:val="center"/>
              <w:rPr>
                <w:rFonts w:ascii="宋体" w:hAnsi="宋体" w:eastAsia="宋体" w:cs="宋体"/>
                <w:kern w:val="0"/>
                <w:sz w:val="18"/>
                <w:szCs w:val="18"/>
              </w:rPr>
            </w:pPr>
          </w:p>
        </w:tc>
      </w:tr>
      <w:tr w14:paraId="5C8D313B">
        <w:tblPrEx>
          <w:tblCellMar>
            <w:top w:w="0" w:type="dxa"/>
            <w:left w:w="108" w:type="dxa"/>
            <w:bottom w:w="0" w:type="dxa"/>
            <w:right w:w="108" w:type="dxa"/>
          </w:tblCellMar>
        </w:tblPrEx>
        <w:trPr>
          <w:trHeight w:val="271" w:hRule="atLeast"/>
          <w:jc w:val="center"/>
        </w:trPr>
        <w:tc>
          <w:tcPr>
            <w:tcW w:w="3882" w:type="dxa"/>
            <w:gridSpan w:val="5"/>
            <w:tcBorders>
              <w:top w:val="single" w:color="auto" w:sz="4" w:space="0"/>
              <w:left w:val="single" w:color="auto" w:sz="4" w:space="0"/>
              <w:bottom w:val="single" w:color="auto" w:sz="4" w:space="0"/>
              <w:right w:val="single" w:color="auto" w:sz="4" w:space="0"/>
            </w:tcBorders>
            <w:vAlign w:val="center"/>
          </w:tcPr>
          <w:p w14:paraId="299B32BB">
            <w:pPr>
              <w:widowControl/>
              <w:jc w:val="center"/>
              <w:rPr>
                <w:rFonts w:ascii="宋体" w:hAnsi="宋体" w:eastAsia="宋体" w:cs="宋体"/>
                <w:kern w:val="0"/>
                <w:sz w:val="18"/>
                <w:szCs w:val="18"/>
              </w:rPr>
            </w:pPr>
            <w:r>
              <w:rPr>
                <w:rFonts w:hint="eastAsia" w:ascii="宋体" w:hAnsi="宋体" w:eastAsia="宋体" w:cs="宋体"/>
                <w:kern w:val="0"/>
                <w:sz w:val="18"/>
                <w:szCs w:val="18"/>
              </w:rPr>
              <w:t>证书学分</w:t>
            </w:r>
          </w:p>
        </w:tc>
        <w:tc>
          <w:tcPr>
            <w:tcW w:w="5654" w:type="dxa"/>
            <w:gridSpan w:val="9"/>
            <w:tcBorders>
              <w:top w:val="single" w:color="auto" w:sz="4" w:space="0"/>
              <w:left w:val="nil"/>
              <w:bottom w:val="single" w:color="auto" w:sz="4" w:space="0"/>
              <w:right w:val="single" w:color="auto" w:sz="4" w:space="0"/>
            </w:tcBorders>
          </w:tcPr>
          <w:p w14:paraId="3AF095CE">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48" w:type="dxa"/>
            <w:tcBorders>
              <w:top w:val="single" w:color="auto" w:sz="4" w:space="0"/>
              <w:left w:val="nil"/>
              <w:bottom w:val="single" w:color="auto" w:sz="4" w:space="0"/>
              <w:right w:val="single" w:color="auto" w:sz="4" w:space="0"/>
            </w:tcBorders>
          </w:tcPr>
          <w:p w14:paraId="2E17ADB9">
            <w:pPr>
              <w:widowControl/>
              <w:jc w:val="center"/>
              <w:rPr>
                <w:rFonts w:ascii="宋体" w:hAnsi="宋体" w:eastAsia="宋体" w:cs="宋体"/>
                <w:kern w:val="0"/>
                <w:sz w:val="18"/>
                <w:szCs w:val="18"/>
              </w:rPr>
            </w:pPr>
          </w:p>
        </w:tc>
      </w:tr>
      <w:tr w14:paraId="2F7890C5">
        <w:tblPrEx>
          <w:tblCellMar>
            <w:top w:w="0" w:type="dxa"/>
            <w:left w:w="108" w:type="dxa"/>
            <w:bottom w:w="0" w:type="dxa"/>
            <w:right w:w="108" w:type="dxa"/>
          </w:tblCellMar>
        </w:tblPrEx>
        <w:trPr>
          <w:trHeight w:val="271" w:hRule="atLeast"/>
          <w:jc w:val="center"/>
        </w:trPr>
        <w:tc>
          <w:tcPr>
            <w:tcW w:w="3882" w:type="dxa"/>
            <w:gridSpan w:val="5"/>
            <w:tcBorders>
              <w:top w:val="single" w:color="auto" w:sz="4" w:space="0"/>
              <w:left w:val="single" w:color="auto" w:sz="4" w:space="0"/>
              <w:bottom w:val="single" w:color="auto" w:sz="4" w:space="0"/>
              <w:right w:val="single" w:color="auto" w:sz="4" w:space="0"/>
            </w:tcBorders>
            <w:vAlign w:val="center"/>
          </w:tcPr>
          <w:p w14:paraId="0E32B0B3">
            <w:pPr>
              <w:widowControl/>
              <w:jc w:val="center"/>
              <w:rPr>
                <w:rFonts w:ascii="宋体" w:hAnsi="宋体" w:eastAsia="宋体" w:cs="宋体"/>
                <w:kern w:val="0"/>
                <w:sz w:val="18"/>
                <w:szCs w:val="18"/>
              </w:rPr>
            </w:pPr>
            <w:r>
              <w:rPr>
                <w:rFonts w:hint="eastAsia" w:ascii="宋体" w:hAnsi="宋体" w:eastAsia="宋体" w:cs="宋体"/>
                <w:kern w:val="0"/>
                <w:sz w:val="18"/>
                <w:szCs w:val="18"/>
              </w:rPr>
              <w:t>综合素养学分</w:t>
            </w:r>
          </w:p>
        </w:tc>
        <w:tc>
          <w:tcPr>
            <w:tcW w:w="5654" w:type="dxa"/>
            <w:gridSpan w:val="9"/>
            <w:tcBorders>
              <w:top w:val="single" w:color="auto" w:sz="4" w:space="0"/>
              <w:left w:val="nil"/>
              <w:bottom w:val="single" w:color="auto" w:sz="4" w:space="0"/>
              <w:right w:val="single" w:color="auto" w:sz="4" w:space="0"/>
            </w:tcBorders>
          </w:tcPr>
          <w:p w14:paraId="4E6F0362">
            <w:pPr>
              <w:widowControl/>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48" w:type="dxa"/>
            <w:tcBorders>
              <w:top w:val="single" w:color="auto" w:sz="4" w:space="0"/>
              <w:left w:val="nil"/>
              <w:bottom w:val="single" w:color="auto" w:sz="4" w:space="0"/>
              <w:right w:val="single" w:color="auto" w:sz="4" w:space="0"/>
            </w:tcBorders>
          </w:tcPr>
          <w:p w14:paraId="63A8D1BA">
            <w:pPr>
              <w:widowControl/>
              <w:jc w:val="center"/>
              <w:rPr>
                <w:rFonts w:ascii="宋体" w:hAnsi="宋体" w:eastAsia="宋体" w:cs="宋体"/>
                <w:kern w:val="0"/>
                <w:sz w:val="18"/>
                <w:szCs w:val="18"/>
              </w:rPr>
            </w:pPr>
          </w:p>
        </w:tc>
      </w:tr>
      <w:tr w14:paraId="7F99A937">
        <w:tblPrEx>
          <w:tblCellMar>
            <w:top w:w="0" w:type="dxa"/>
            <w:left w:w="108" w:type="dxa"/>
            <w:bottom w:w="0" w:type="dxa"/>
            <w:right w:w="108" w:type="dxa"/>
          </w:tblCellMar>
        </w:tblPrEx>
        <w:trPr>
          <w:trHeight w:val="271" w:hRule="atLeast"/>
          <w:jc w:val="center"/>
        </w:trPr>
        <w:tc>
          <w:tcPr>
            <w:tcW w:w="3882" w:type="dxa"/>
            <w:gridSpan w:val="5"/>
            <w:tcBorders>
              <w:top w:val="single" w:color="auto" w:sz="4" w:space="0"/>
              <w:left w:val="single" w:color="auto" w:sz="4" w:space="0"/>
              <w:bottom w:val="single" w:color="auto" w:sz="4" w:space="0"/>
              <w:right w:val="single" w:color="auto" w:sz="4" w:space="0"/>
            </w:tcBorders>
            <w:vAlign w:val="center"/>
          </w:tcPr>
          <w:p w14:paraId="3D41CA11">
            <w:pPr>
              <w:widowControl/>
              <w:jc w:val="center"/>
              <w:rPr>
                <w:rFonts w:ascii="宋体" w:hAnsi="宋体" w:eastAsia="宋体" w:cs="宋体"/>
                <w:kern w:val="0"/>
                <w:sz w:val="18"/>
                <w:szCs w:val="18"/>
              </w:rPr>
            </w:pPr>
            <w:r>
              <w:rPr>
                <w:rFonts w:hint="eastAsia" w:ascii="宋体" w:hAnsi="宋体" w:eastAsia="宋体" w:cs="宋体"/>
                <w:kern w:val="0"/>
                <w:sz w:val="18"/>
                <w:szCs w:val="18"/>
              </w:rPr>
              <w:t>总学时</w:t>
            </w:r>
          </w:p>
        </w:tc>
        <w:tc>
          <w:tcPr>
            <w:tcW w:w="5654" w:type="dxa"/>
            <w:gridSpan w:val="9"/>
            <w:tcBorders>
              <w:top w:val="single" w:color="auto" w:sz="4" w:space="0"/>
              <w:left w:val="nil"/>
              <w:bottom w:val="single" w:color="auto" w:sz="4" w:space="0"/>
              <w:right w:val="single" w:color="auto" w:sz="4" w:space="0"/>
            </w:tcBorders>
          </w:tcPr>
          <w:p w14:paraId="4F635CFF">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3230</w:t>
            </w:r>
          </w:p>
        </w:tc>
        <w:tc>
          <w:tcPr>
            <w:tcW w:w="548" w:type="dxa"/>
            <w:tcBorders>
              <w:top w:val="single" w:color="auto" w:sz="4" w:space="0"/>
              <w:left w:val="nil"/>
              <w:bottom w:val="single" w:color="auto" w:sz="4" w:space="0"/>
              <w:right w:val="single" w:color="auto" w:sz="4" w:space="0"/>
            </w:tcBorders>
          </w:tcPr>
          <w:p w14:paraId="795637A2">
            <w:pPr>
              <w:widowControl/>
              <w:jc w:val="center"/>
              <w:rPr>
                <w:rFonts w:ascii="宋体" w:hAnsi="宋体" w:eastAsia="宋体" w:cs="宋体"/>
                <w:kern w:val="0"/>
                <w:sz w:val="18"/>
                <w:szCs w:val="18"/>
              </w:rPr>
            </w:pPr>
          </w:p>
        </w:tc>
      </w:tr>
      <w:tr w14:paraId="10622D92">
        <w:tblPrEx>
          <w:tblCellMar>
            <w:top w:w="0" w:type="dxa"/>
            <w:left w:w="108" w:type="dxa"/>
            <w:bottom w:w="0" w:type="dxa"/>
            <w:right w:w="108" w:type="dxa"/>
          </w:tblCellMar>
        </w:tblPrEx>
        <w:trPr>
          <w:trHeight w:val="271" w:hRule="atLeast"/>
          <w:jc w:val="center"/>
        </w:trPr>
        <w:tc>
          <w:tcPr>
            <w:tcW w:w="3882" w:type="dxa"/>
            <w:gridSpan w:val="5"/>
            <w:tcBorders>
              <w:top w:val="single" w:color="auto" w:sz="4" w:space="0"/>
              <w:left w:val="single" w:color="auto" w:sz="4" w:space="0"/>
              <w:bottom w:val="single" w:color="auto" w:sz="4" w:space="0"/>
              <w:right w:val="single" w:color="auto" w:sz="4" w:space="0"/>
            </w:tcBorders>
            <w:vAlign w:val="center"/>
          </w:tcPr>
          <w:p w14:paraId="5641A499">
            <w:pPr>
              <w:widowControl/>
              <w:jc w:val="center"/>
              <w:rPr>
                <w:rFonts w:ascii="宋体" w:hAnsi="宋体" w:eastAsia="宋体" w:cs="宋体"/>
                <w:kern w:val="0"/>
                <w:sz w:val="18"/>
                <w:szCs w:val="18"/>
              </w:rPr>
            </w:pPr>
            <w:r>
              <w:rPr>
                <w:rFonts w:hint="eastAsia" w:ascii="宋体" w:hAnsi="宋体" w:eastAsia="宋体" w:cs="宋体"/>
                <w:kern w:val="0"/>
                <w:sz w:val="18"/>
                <w:szCs w:val="18"/>
              </w:rPr>
              <w:t>总学分</w:t>
            </w:r>
          </w:p>
        </w:tc>
        <w:tc>
          <w:tcPr>
            <w:tcW w:w="5654" w:type="dxa"/>
            <w:gridSpan w:val="9"/>
            <w:tcBorders>
              <w:top w:val="single" w:color="auto" w:sz="4" w:space="0"/>
              <w:left w:val="nil"/>
              <w:bottom w:val="single" w:color="auto" w:sz="4" w:space="0"/>
              <w:right w:val="single" w:color="auto" w:sz="4" w:space="0"/>
            </w:tcBorders>
          </w:tcPr>
          <w:p w14:paraId="592D4CBF">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168</w:t>
            </w:r>
          </w:p>
        </w:tc>
        <w:tc>
          <w:tcPr>
            <w:tcW w:w="548" w:type="dxa"/>
            <w:tcBorders>
              <w:top w:val="single" w:color="auto" w:sz="4" w:space="0"/>
              <w:left w:val="nil"/>
              <w:bottom w:val="single" w:color="auto" w:sz="4" w:space="0"/>
              <w:right w:val="single" w:color="auto" w:sz="4" w:space="0"/>
            </w:tcBorders>
          </w:tcPr>
          <w:p w14:paraId="570D51E1">
            <w:pPr>
              <w:widowControl/>
              <w:jc w:val="center"/>
              <w:rPr>
                <w:rFonts w:ascii="宋体" w:hAnsi="宋体" w:eastAsia="宋体" w:cs="宋体"/>
                <w:kern w:val="0"/>
                <w:sz w:val="18"/>
                <w:szCs w:val="18"/>
              </w:rPr>
            </w:pPr>
          </w:p>
        </w:tc>
      </w:tr>
    </w:tbl>
    <w:p w14:paraId="2DD2092D">
      <w:pPr>
        <w:ind w:left="704" w:leftChars="164" w:hanging="360" w:hangingChars="200"/>
        <w:rPr>
          <w:sz w:val="18"/>
          <w:szCs w:val="18"/>
        </w:rPr>
      </w:pPr>
      <w:bookmarkStart w:id="30" w:name="_Toc530755382"/>
      <w:r>
        <w:rPr>
          <w:rFonts w:hint="eastAsia"/>
          <w:sz w:val="18"/>
          <w:szCs w:val="18"/>
        </w:rPr>
        <w:t>说明：</w:t>
      </w:r>
      <w:r>
        <w:rPr>
          <w:sz w:val="18"/>
          <w:szCs w:val="18"/>
        </w:rPr>
        <w:t>1.</w:t>
      </w:r>
      <w:r>
        <w:rPr>
          <w:rFonts w:hint="eastAsia"/>
          <w:sz w:val="18"/>
          <w:szCs w:val="18"/>
        </w:rPr>
        <w:t xml:space="preserve"> </w:t>
      </w:r>
      <w:r>
        <w:rPr>
          <w:rFonts w:hint="eastAsia" w:ascii="宋体" w:hAnsi="宋体" w:cs="宋体"/>
          <w:sz w:val="18"/>
          <w:szCs w:val="18"/>
        </w:rPr>
        <w:t>★</w:t>
      </w:r>
      <w:r>
        <w:rPr>
          <w:rFonts w:hint="eastAsia"/>
          <w:sz w:val="18"/>
          <w:szCs w:val="18"/>
        </w:rPr>
        <w:t>表示考试，其余为考查；</w:t>
      </w:r>
      <w:r>
        <w:rPr>
          <w:rFonts w:hint="eastAsia" w:cs="宋体" w:asciiTheme="minorEastAsia" w:hAnsiTheme="minorEastAsia"/>
          <w:szCs w:val="21"/>
        </w:rPr>
        <w:t>⊙</w:t>
      </w:r>
      <w:r>
        <w:rPr>
          <w:rFonts w:hint="eastAsia"/>
          <w:sz w:val="18"/>
          <w:szCs w:val="18"/>
        </w:rPr>
        <w:t>表示课程实践在课外进行；</w:t>
      </w:r>
      <w:r>
        <w:rPr>
          <w:sz w:val="18"/>
          <w:szCs w:val="18"/>
        </w:rPr>
        <w:t>w</w:t>
      </w:r>
      <w:r>
        <w:rPr>
          <w:rFonts w:hint="eastAsia"/>
          <w:sz w:val="18"/>
          <w:szCs w:val="18"/>
        </w:rPr>
        <w:t>表示集中实践教学周</w:t>
      </w:r>
      <w:r>
        <w:rPr>
          <w:rFonts w:hint="eastAsia"/>
          <w:bCs/>
          <w:sz w:val="18"/>
          <w:szCs w:val="18"/>
        </w:rPr>
        <w:t>；</w:t>
      </w:r>
    </w:p>
    <w:p w14:paraId="20536A1E">
      <w:pPr>
        <w:ind w:firstLine="900" w:firstLineChars="500"/>
        <w:rPr>
          <w:sz w:val="18"/>
          <w:szCs w:val="18"/>
        </w:rPr>
      </w:pPr>
      <w:r>
        <w:rPr>
          <w:sz w:val="18"/>
          <w:szCs w:val="18"/>
        </w:rPr>
        <w:t xml:space="preserve">2. </w:t>
      </w:r>
      <w:r>
        <w:rPr>
          <w:rFonts w:hint="eastAsia"/>
          <w:sz w:val="18"/>
          <w:szCs w:val="18"/>
        </w:rPr>
        <w:t>社会实践、劳动实践等综合素养课程只计学分，不计学时。</w:t>
      </w:r>
    </w:p>
    <w:p w14:paraId="12DBE30B">
      <w:pPr>
        <w:ind w:firstLine="900" w:firstLineChars="500"/>
        <w:rPr>
          <w:sz w:val="18"/>
          <w:szCs w:val="18"/>
        </w:rPr>
      </w:pPr>
      <w:r>
        <w:rPr>
          <w:rFonts w:hint="eastAsia"/>
          <w:sz w:val="18"/>
          <w:szCs w:val="18"/>
        </w:rPr>
        <w:t>3. 劳动教育学校每学年设立集体劳动周，同时进行1</w:t>
      </w:r>
      <w:r>
        <w:rPr>
          <w:sz w:val="18"/>
          <w:szCs w:val="18"/>
        </w:rPr>
        <w:t>6</w:t>
      </w:r>
      <w:r>
        <w:rPr>
          <w:rFonts w:hint="eastAsia"/>
          <w:sz w:val="18"/>
          <w:szCs w:val="18"/>
        </w:rPr>
        <w:t>学时专题教育。</w:t>
      </w:r>
    </w:p>
    <w:p w14:paraId="390B939A">
      <w:pPr>
        <w:rPr>
          <w:rFonts w:hint="eastAsia" w:ascii="黑体" w:hAnsi="Times New Roman"/>
          <w:sz w:val="24"/>
          <w:szCs w:val="21"/>
        </w:rPr>
      </w:pPr>
      <w:r>
        <w:rPr>
          <w:rFonts w:hint="eastAsia" w:ascii="黑体" w:hAnsi="Times New Roman"/>
          <w:sz w:val="24"/>
          <w:szCs w:val="21"/>
        </w:rPr>
        <w:br w:type="page"/>
      </w:r>
    </w:p>
    <w:p w14:paraId="5B2318C2">
      <w:pPr>
        <w:pStyle w:val="3"/>
        <w:snapToGrid w:val="0"/>
        <w:spacing w:before="156" w:beforeLines="50" w:after="0" w:line="400" w:lineRule="exact"/>
        <w:jc w:val="both"/>
        <w:rPr>
          <w:rFonts w:ascii="黑体" w:hAnsi="Times New Roman"/>
          <w:sz w:val="24"/>
          <w:szCs w:val="21"/>
        </w:rPr>
      </w:pPr>
      <w:bookmarkStart w:id="31" w:name="_Toc16357"/>
      <w:r>
        <w:rPr>
          <w:rFonts w:hint="eastAsia" w:ascii="黑体" w:hAnsi="Times New Roman"/>
          <w:sz w:val="24"/>
          <w:szCs w:val="21"/>
        </w:rPr>
        <w:t>九、实施</w:t>
      </w:r>
      <w:bookmarkEnd w:id="30"/>
      <w:r>
        <w:rPr>
          <w:rFonts w:hint="eastAsia" w:ascii="黑体" w:hAnsi="Times New Roman"/>
          <w:sz w:val="24"/>
          <w:szCs w:val="21"/>
        </w:rPr>
        <w:t>保障</w:t>
      </w:r>
      <w:bookmarkEnd w:id="31"/>
    </w:p>
    <w:p w14:paraId="53D87C27">
      <w:pPr>
        <w:spacing w:line="400" w:lineRule="exact"/>
        <w:ind w:firstLine="480" w:firstLineChars="200"/>
        <w:outlineLvl w:val="1"/>
        <w:rPr>
          <w:rFonts w:ascii="楷体" w:hAnsi="楷体" w:eastAsia="楷体"/>
          <w:bCs/>
          <w:sz w:val="24"/>
          <w:szCs w:val="24"/>
        </w:rPr>
      </w:pPr>
      <w:bookmarkStart w:id="32" w:name="_Toc11238"/>
      <w:bookmarkStart w:id="33" w:name="_Toc117938450"/>
      <w:bookmarkStart w:id="34" w:name="_Toc109224855"/>
      <w:r>
        <w:rPr>
          <w:rFonts w:hint="eastAsia" w:ascii="楷体" w:hAnsi="楷体" w:eastAsia="楷体"/>
          <w:bCs/>
          <w:sz w:val="24"/>
          <w:szCs w:val="24"/>
        </w:rPr>
        <w:t>（一）师资队伍</w:t>
      </w:r>
      <w:bookmarkEnd w:id="32"/>
    </w:p>
    <w:p w14:paraId="648EC76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按照“四有好老师”“四个相统一”“四个引路人”的要求建设专业教师队伍，将师德师风作为师资队伍建设的第一标准。</w:t>
      </w:r>
    </w:p>
    <w:p w14:paraId="3611A1F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1.队伍结构</w:t>
      </w:r>
    </w:p>
    <w:p w14:paraId="7C67626B">
      <w:pPr>
        <w:spacing w:line="400" w:lineRule="exact"/>
        <w:ind w:firstLine="482"/>
        <w:rPr>
          <w:rFonts w:ascii="仿宋_GB2312" w:hAnsi="Times New Roman" w:eastAsia="仿宋_GB2312" w:cs="Times New Roman"/>
          <w:color w:val="000000" w:themeColor="text1"/>
          <w:sz w:val="24"/>
          <w:szCs w:val="24"/>
          <w14:textFill>
            <w14:solidFill>
              <w14:schemeClr w14:val="tx1"/>
            </w14:solidFill>
          </w14:textFill>
        </w:rPr>
      </w:pPr>
      <w:r>
        <w:rPr>
          <w:rFonts w:hint="eastAsia" w:ascii="仿宋_GB2312" w:hAnsi="Times New Roman" w:eastAsia="仿宋_GB2312" w:cs="Times New Roman"/>
          <w:color w:val="000000" w:themeColor="text1"/>
          <w:sz w:val="24"/>
          <w:szCs w:val="24"/>
          <w14:textFill>
            <w14:solidFill>
              <w14:schemeClr w14:val="tx1"/>
            </w14:solidFill>
          </w14:textFill>
        </w:rPr>
        <w:t>本专业需达到专任教师共7人，教师需具有本科及以上学历，需提高高级专业技术职务教师占比至30%，培养4名“双师型”教师。目前专业学生数140人，根据国家标准中“所需专任教师数比例不高于20:1”的规定，本专业至少需要专任教师7名。</w:t>
      </w:r>
    </w:p>
    <w:p w14:paraId="31DA2DB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选聘企业高级专业技术人员</w:t>
      </w:r>
      <w:r>
        <w:rPr>
          <w:rFonts w:ascii="仿宋_GB2312" w:hAnsi="Times New Roman" w:eastAsia="仿宋_GB2312" w:cs="Times New Roman"/>
          <w:sz w:val="24"/>
          <w:szCs w:val="24"/>
        </w:rPr>
        <w:t>2</w:t>
      </w:r>
      <w:r>
        <w:rPr>
          <w:rFonts w:hint="eastAsia" w:ascii="仿宋_GB2312" w:hAnsi="Times New Roman" w:eastAsia="仿宋_GB2312" w:cs="Times New Roman"/>
          <w:sz w:val="24"/>
          <w:szCs w:val="24"/>
        </w:rPr>
        <w:t>人担任产业导师，组建校企合作、专兼结合的教师团队，定期开展专业教研活动。</w:t>
      </w:r>
    </w:p>
    <w:p w14:paraId="1F717B5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2.专业带头人</w:t>
      </w:r>
    </w:p>
    <w:p w14:paraId="51B1057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原则上应具有会计事务专业及相关专业副高及以上职称和较强的实践能力，能广泛联系行业企业，了解国内外会计、审计及税务服务行业发展新趋势，准确把握行业企业用人需求，具有组织开展专业建设、教科研工作和企业服务的能力，在本专业改革发展中起引领作用。</w:t>
      </w:r>
    </w:p>
    <w:p w14:paraId="5E91DE1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3.专任教师</w:t>
      </w:r>
    </w:p>
    <w:p w14:paraId="6211403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具有中职或以上教师资格证书；具有会计学、会计、财务管理、税收学及相近专业等相关专业学历；具有本专业理论和实践能力；能够落实课程思政要求，挖掘专业课程中的思政教育元素和资源；能够运用信息技术开展混合式教学等教法改革；能够跟踪新经济、新技术发展前沿，开展社会服务；专业教师每年至少1个月在企业或实训基地实训，每5年累计不少于6个月的企业实践经历。</w:t>
      </w:r>
    </w:p>
    <w:p w14:paraId="640D24C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4.兼职教师</w:t>
      </w:r>
    </w:p>
    <w:p w14:paraId="760C712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根据学校《兼职教师聘任与管理办法》，从本专业相关行业企业的高技术技能人才中聘任，应具有扎实的专业知识和丰富的实际工作经验，原则上应具有中级及以上相关专业技术职称，了解教育教学规律，能承担专业课程教学、实习实训指导和学生职业发展规划指导等专业教学任务。</w:t>
      </w:r>
    </w:p>
    <w:p w14:paraId="1C4C7B7E">
      <w:pPr>
        <w:spacing w:line="400" w:lineRule="exact"/>
        <w:ind w:firstLine="480" w:firstLineChars="200"/>
        <w:outlineLvl w:val="1"/>
        <w:rPr>
          <w:rFonts w:ascii="楷体" w:hAnsi="楷体" w:eastAsia="楷体"/>
          <w:bCs/>
          <w:sz w:val="24"/>
          <w:szCs w:val="24"/>
        </w:rPr>
      </w:pPr>
      <w:bookmarkStart w:id="35" w:name="_Toc19672"/>
      <w:bookmarkStart w:id="36" w:name="_Toc70669116"/>
      <w:bookmarkStart w:id="37" w:name="_Toc109224863"/>
      <w:bookmarkStart w:id="38" w:name="_Toc117938458"/>
      <w:r>
        <w:rPr>
          <w:rFonts w:hint="eastAsia" w:ascii="楷体" w:hAnsi="楷体" w:eastAsia="楷体"/>
          <w:bCs/>
          <w:sz w:val="24"/>
          <w:szCs w:val="24"/>
        </w:rPr>
        <w:t>（二）教学设施</w:t>
      </w:r>
      <w:bookmarkEnd w:id="35"/>
      <w:bookmarkEnd w:id="36"/>
      <w:bookmarkEnd w:id="37"/>
      <w:bookmarkEnd w:id="38"/>
    </w:p>
    <w:p w14:paraId="3750DF7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1.专业教室基本要求</w:t>
      </w:r>
    </w:p>
    <w:p w14:paraId="174AF22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具备利用信息化手段开展混合式教学的条件。一般配备黑（白）板、多媒体计算机、投影设备、音响设备，互联网接入或无线网络环境，并具有网络安全防护措施。安装应急照明装置并保持良好状态，符合紧急疏散要求、标志明显、保持逃生通道畅通无阻。</w:t>
      </w:r>
    </w:p>
    <w:p w14:paraId="28CC182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 校内外实训场所基本要求</w:t>
      </w:r>
    </w:p>
    <w:p w14:paraId="336B13A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根据本专业人才培养目标的要求及课程设置的需要，按每班40名学生为基准，校内外实训条件配置如下：</w:t>
      </w:r>
    </w:p>
    <w:p w14:paraId="107FD71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（1）校内实训场所基本要求</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656"/>
        <w:gridCol w:w="2351"/>
        <w:gridCol w:w="2410"/>
        <w:gridCol w:w="1213"/>
      </w:tblGrid>
      <w:tr w14:paraId="36EA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restart"/>
            <w:tcBorders>
              <w:top w:val="single" w:color="auto" w:sz="4" w:space="0"/>
              <w:left w:val="single" w:color="auto" w:sz="4" w:space="0"/>
              <w:bottom w:val="single" w:color="auto" w:sz="4" w:space="0"/>
              <w:right w:val="single" w:color="auto" w:sz="4" w:space="0"/>
            </w:tcBorders>
            <w:vAlign w:val="center"/>
          </w:tcPr>
          <w:p w14:paraId="0826F672">
            <w:pPr>
              <w:spacing w:line="400" w:lineRule="exact"/>
              <w:jc w:val="center"/>
              <w:rPr>
                <w:rFonts w:ascii="宋体" w:hAnsi="宋体" w:eastAsia="宋体" w:cs="Times New Roman"/>
                <w:b/>
                <w:szCs w:val="21"/>
              </w:rPr>
            </w:pPr>
            <w:r>
              <w:rPr>
                <w:rFonts w:hint="eastAsia" w:ascii="宋体" w:hAnsi="宋体" w:eastAsia="宋体" w:cs="Times New Roman"/>
                <w:b/>
                <w:szCs w:val="21"/>
              </w:rPr>
              <w:t>序号</w:t>
            </w:r>
          </w:p>
        </w:tc>
        <w:tc>
          <w:tcPr>
            <w:tcW w:w="1656" w:type="dxa"/>
            <w:vMerge w:val="restart"/>
            <w:tcBorders>
              <w:top w:val="single" w:color="auto" w:sz="4" w:space="0"/>
              <w:left w:val="single" w:color="auto" w:sz="4" w:space="0"/>
              <w:bottom w:val="single" w:color="auto" w:sz="4" w:space="0"/>
              <w:right w:val="single" w:color="auto" w:sz="4" w:space="0"/>
            </w:tcBorders>
            <w:vAlign w:val="center"/>
          </w:tcPr>
          <w:p w14:paraId="08498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szCs w:val="21"/>
              </w:rPr>
            </w:pPr>
            <w:r>
              <w:rPr>
                <w:rFonts w:hint="eastAsia" w:ascii="宋体" w:hAnsi="宋体" w:eastAsia="宋体" w:cs="Times New Roman"/>
                <w:b/>
                <w:szCs w:val="21"/>
              </w:rPr>
              <w:t>实训室</w:t>
            </w:r>
          </w:p>
          <w:p w14:paraId="4F1DE4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szCs w:val="21"/>
              </w:rPr>
            </w:pPr>
            <w:r>
              <w:rPr>
                <w:rFonts w:hint="eastAsia" w:ascii="宋体" w:hAnsi="宋体" w:eastAsia="宋体" w:cs="Times New Roman"/>
                <w:b/>
                <w:szCs w:val="21"/>
              </w:rPr>
              <w:t>名称及面积</w:t>
            </w:r>
          </w:p>
        </w:tc>
        <w:tc>
          <w:tcPr>
            <w:tcW w:w="2351" w:type="dxa"/>
            <w:vMerge w:val="restart"/>
            <w:tcBorders>
              <w:top w:val="single" w:color="auto" w:sz="4" w:space="0"/>
              <w:left w:val="single" w:color="auto" w:sz="4" w:space="0"/>
              <w:bottom w:val="single" w:color="auto" w:sz="4" w:space="0"/>
              <w:right w:val="single" w:color="auto" w:sz="4" w:space="0"/>
            </w:tcBorders>
            <w:vAlign w:val="center"/>
          </w:tcPr>
          <w:p w14:paraId="5286AF57">
            <w:pPr>
              <w:spacing w:line="400" w:lineRule="exact"/>
              <w:jc w:val="center"/>
              <w:rPr>
                <w:rFonts w:ascii="宋体" w:hAnsi="宋体" w:eastAsia="宋体" w:cs="Times New Roman"/>
                <w:b/>
                <w:szCs w:val="21"/>
              </w:rPr>
            </w:pPr>
            <w:r>
              <w:rPr>
                <w:rFonts w:hint="eastAsia" w:ascii="宋体" w:hAnsi="宋体" w:eastAsia="宋体" w:cs="Times New Roman"/>
                <w:b/>
                <w:szCs w:val="21"/>
              </w:rPr>
              <w:t>对应课程</w:t>
            </w:r>
          </w:p>
        </w:tc>
        <w:tc>
          <w:tcPr>
            <w:tcW w:w="3623" w:type="dxa"/>
            <w:gridSpan w:val="2"/>
            <w:tcBorders>
              <w:top w:val="single" w:color="auto" w:sz="4" w:space="0"/>
              <w:left w:val="single" w:color="auto" w:sz="4" w:space="0"/>
              <w:bottom w:val="single" w:color="auto" w:sz="4" w:space="0"/>
              <w:right w:val="single" w:color="auto" w:sz="4" w:space="0"/>
            </w:tcBorders>
            <w:vAlign w:val="center"/>
          </w:tcPr>
          <w:p w14:paraId="09425906">
            <w:pPr>
              <w:spacing w:line="400" w:lineRule="exact"/>
              <w:jc w:val="center"/>
              <w:rPr>
                <w:rFonts w:ascii="宋体" w:hAnsi="宋体" w:eastAsia="宋体" w:cs="Times New Roman"/>
                <w:b/>
                <w:szCs w:val="21"/>
              </w:rPr>
            </w:pPr>
            <w:r>
              <w:rPr>
                <w:rFonts w:hint="eastAsia" w:ascii="宋体" w:hAnsi="宋体" w:eastAsia="宋体" w:cs="宋体"/>
                <w:b/>
                <w:bCs/>
                <w:color w:val="000000"/>
                <w:szCs w:val="21"/>
              </w:rPr>
              <w:t>主要设施设备</w:t>
            </w:r>
          </w:p>
        </w:tc>
      </w:tr>
      <w:tr w14:paraId="1887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8EDC689">
            <w:pPr>
              <w:widowControl/>
              <w:jc w:val="left"/>
              <w:rPr>
                <w:rFonts w:ascii="宋体" w:hAnsi="宋体" w:eastAsia="宋体" w:cs="Times New Roman"/>
                <w:b/>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A30E55">
            <w:pPr>
              <w:widowControl/>
              <w:jc w:val="left"/>
              <w:rPr>
                <w:rFonts w:ascii="宋体" w:hAnsi="宋体" w:eastAsia="宋体" w:cs="Times New Roman"/>
                <w:b/>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15CCB2">
            <w:pPr>
              <w:widowControl/>
              <w:jc w:val="left"/>
              <w:rPr>
                <w:rFonts w:ascii="宋体" w:hAnsi="宋体" w:eastAsia="宋体" w:cs="Times New Roman"/>
                <w:b/>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20E49E47">
            <w:pPr>
              <w:widowControl/>
              <w:snapToGrid w:val="0"/>
              <w:jc w:val="center"/>
              <w:rPr>
                <w:rFonts w:ascii="宋体" w:hAnsi="宋体" w:eastAsia="宋体" w:cs="宋体"/>
                <w:b/>
                <w:bCs/>
                <w:color w:val="000000"/>
                <w:szCs w:val="21"/>
              </w:rPr>
            </w:pPr>
            <w:r>
              <w:rPr>
                <w:rFonts w:hint="eastAsia" w:ascii="宋体" w:hAnsi="宋体" w:eastAsia="宋体" w:cs="宋体"/>
                <w:b/>
                <w:bCs/>
                <w:color w:val="000000"/>
                <w:szCs w:val="21"/>
              </w:rPr>
              <w:t>名称</w:t>
            </w:r>
          </w:p>
        </w:tc>
        <w:tc>
          <w:tcPr>
            <w:tcW w:w="1213" w:type="dxa"/>
            <w:tcBorders>
              <w:top w:val="single" w:color="auto" w:sz="4" w:space="0"/>
              <w:left w:val="single" w:color="auto" w:sz="4" w:space="0"/>
              <w:bottom w:val="single" w:color="auto" w:sz="4" w:space="0"/>
              <w:right w:val="single" w:color="auto" w:sz="4" w:space="0"/>
            </w:tcBorders>
            <w:vAlign w:val="center"/>
          </w:tcPr>
          <w:p w14:paraId="3C12BDC0">
            <w:pPr>
              <w:widowControl/>
              <w:snapToGrid w:val="0"/>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14:paraId="3FB4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vMerge w:val="restart"/>
            <w:tcBorders>
              <w:top w:val="single" w:color="auto" w:sz="4" w:space="0"/>
              <w:left w:val="single" w:color="auto" w:sz="4" w:space="0"/>
              <w:right w:val="single" w:color="auto" w:sz="4" w:space="0"/>
            </w:tcBorders>
            <w:vAlign w:val="center"/>
          </w:tcPr>
          <w:p w14:paraId="36B36A63">
            <w:pPr>
              <w:spacing w:line="400" w:lineRule="exact"/>
              <w:jc w:val="center"/>
              <w:rPr>
                <w:rFonts w:ascii="宋体" w:hAnsi="宋体" w:eastAsia="宋体" w:cs="Times New Roman"/>
                <w:szCs w:val="21"/>
              </w:rPr>
            </w:pPr>
            <w:r>
              <w:rPr>
                <w:rFonts w:hint="eastAsia" w:ascii="宋体" w:hAnsi="宋体" w:eastAsia="宋体" w:cs="Times New Roman"/>
                <w:szCs w:val="21"/>
              </w:rPr>
              <w:t>1</w:t>
            </w:r>
          </w:p>
        </w:tc>
        <w:tc>
          <w:tcPr>
            <w:tcW w:w="1656" w:type="dxa"/>
            <w:vMerge w:val="restart"/>
            <w:tcBorders>
              <w:top w:val="single" w:color="auto" w:sz="4" w:space="0"/>
              <w:left w:val="single" w:color="auto" w:sz="4" w:space="0"/>
              <w:right w:val="single" w:color="auto" w:sz="4" w:space="0"/>
            </w:tcBorders>
            <w:vAlign w:val="center"/>
          </w:tcPr>
          <w:p w14:paraId="3598FEE7">
            <w:pPr>
              <w:spacing w:line="400" w:lineRule="exact"/>
              <w:jc w:val="center"/>
              <w:rPr>
                <w:rFonts w:ascii="宋体" w:hAnsi="宋体" w:eastAsia="宋体" w:cs="Times New Roman"/>
                <w:szCs w:val="21"/>
              </w:rPr>
            </w:pPr>
            <w:r>
              <w:rPr>
                <w:rFonts w:hint="eastAsia"/>
              </w:rPr>
              <w:t>会计综合实训室(50㎡)</w:t>
            </w:r>
          </w:p>
        </w:tc>
        <w:tc>
          <w:tcPr>
            <w:tcW w:w="2351" w:type="dxa"/>
            <w:vMerge w:val="restart"/>
            <w:tcBorders>
              <w:top w:val="single" w:color="auto" w:sz="4" w:space="0"/>
              <w:left w:val="single" w:color="auto" w:sz="4" w:space="0"/>
              <w:right w:val="single" w:color="auto" w:sz="4" w:space="0"/>
            </w:tcBorders>
            <w:vAlign w:val="center"/>
          </w:tcPr>
          <w:p w14:paraId="6218D5C6">
            <w:r>
              <w:rPr>
                <w:rFonts w:hint="eastAsia"/>
              </w:rPr>
              <w:t>会计基础</w:t>
            </w:r>
          </w:p>
          <w:p w14:paraId="25982F91">
            <w:r>
              <w:rPr>
                <w:rFonts w:hint="eastAsia"/>
              </w:rPr>
              <w:t>会计电算化</w:t>
            </w:r>
          </w:p>
          <w:p w14:paraId="2E720899">
            <w:r>
              <w:rPr>
                <w:rFonts w:hint="eastAsia"/>
              </w:rPr>
              <w:t>企业财务会计</w:t>
            </w:r>
          </w:p>
          <w:p w14:paraId="5550F0DE">
            <w:pPr>
              <w:spacing w:line="400" w:lineRule="exact"/>
              <w:jc w:val="center"/>
              <w:rPr>
                <w:rFonts w:ascii="宋体" w:hAnsi="宋体" w:eastAsia="宋体" w:cs="Times New Roman"/>
                <w:szCs w:val="21"/>
              </w:rPr>
            </w:pPr>
            <w:r>
              <w:rPr>
                <w:rFonts w:hint="eastAsia"/>
              </w:rPr>
              <w:t>纳税实务</w:t>
            </w:r>
          </w:p>
        </w:tc>
        <w:tc>
          <w:tcPr>
            <w:tcW w:w="2410" w:type="dxa"/>
            <w:tcBorders>
              <w:top w:val="single" w:color="auto" w:sz="4" w:space="0"/>
              <w:left w:val="single" w:color="auto" w:sz="4" w:space="0"/>
              <w:bottom w:val="single" w:color="auto" w:sz="4" w:space="0"/>
              <w:right w:val="single" w:color="auto" w:sz="4" w:space="0"/>
            </w:tcBorders>
            <w:vAlign w:val="center"/>
          </w:tcPr>
          <w:p w14:paraId="73DBEBC6">
            <w:pPr>
              <w:rPr>
                <w:rFonts w:cs="Times New Roman"/>
              </w:rPr>
            </w:pPr>
            <w:r>
              <w:rPr>
                <w:rFonts w:hint="eastAsia"/>
              </w:rPr>
              <w:t>计算机</w:t>
            </w:r>
          </w:p>
        </w:tc>
        <w:tc>
          <w:tcPr>
            <w:tcW w:w="1213" w:type="dxa"/>
            <w:tcBorders>
              <w:top w:val="single" w:color="auto" w:sz="4" w:space="0"/>
              <w:left w:val="single" w:color="auto" w:sz="4" w:space="0"/>
              <w:bottom w:val="single" w:color="auto" w:sz="4" w:space="0"/>
              <w:right w:val="single" w:color="auto" w:sz="4" w:space="0"/>
            </w:tcBorders>
            <w:vAlign w:val="center"/>
          </w:tcPr>
          <w:p w14:paraId="628F715C">
            <w:pPr>
              <w:rPr>
                <w:rFonts w:cs="Times New Roman"/>
              </w:rPr>
            </w:pPr>
            <w:r>
              <w:rPr>
                <w:rFonts w:hint="eastAsia"/>
              </w:rPr>
              <w:t>40台</w:t>
            </w:r>
          </w:p>
        </w:tc>
      </w:tr>
      <w:tr w14:paraId="03CD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left w:val="single" w:color="auto" w:sz="4" w:space="0"/>
              <w:right w:val="single" w:color="auto" w:sz="4" w:space="0"/>
            </w:tcBorders>
            <w:vAlign w:val="center"/>
          </w:tcPr>
          <w:p w14:paraId="063F763B">
            <w:pPr>
              <w:widowControl/>
              <w:jc w:val="left"/>
              <w:rPr>
                <w:rFonts w:ascii="宋体" w:hAnsi="宋体" w:eastAsia="宋体" w:cs="Times New Roman"/>
                <w:szCs w:val="21"/>
              </w:rPr>
            </w:pPr>
          </w:p>
        </w:tc>
        <w:tc>
          <w:tcPr>
            <w:tcW w:w="1656" w:type="dxa"/>
            <w:vMerge w:val="continue"/>
            <w:tcBorders>
              <w:left w:val="single" w:color="auto" w:sz="4" w:space="0"/>
              <w:right w:val="single" w:color="auto" w:sz="4" w:space="0"/>
            </w:tcBorders>
            <w:vAlign w:val="center"/>
          </w:tcPr>
          <w:p w14:paraId="0234B1E6">
            <w:pPr>
              <w:widowControl/>
              <w:jc w:val="left"/>
              <w:rPr>
                <w:rFonts w:ascii="宋体" w:hAnsi="宋体" w:eastAsia="宋体" w:cs="Times New Roman"/>
                <w:szCs w:val="21"/>
              </w:rPr>
            </w:pPr>
          </w:p>
        </w:tc>
        <w:tc>
          <w:tcPr>
            <w:tcW w:w="2351" w:type="dxa"/>
            <w:vMerge w:val="continue"/>
            <w:tcBorders>
              <w:left w:val="single" w:color="auto" w:sz="4" w:space="0"/>
              <w:right w:val="single" w:color="auto" w:sz="4" w:space="0"/>
            </w:tcBorders>
            <w:vAlign w:val="center"/>
          </w:tcPr>
          <w:p w14:paraId="556157C3">
            <w:pPr>
              <w:widowControl/>
              <w:jc w:val="left"/>
              <w:rPr>
                <w:rFonts w:ascii="宋体" w:hAnsi="宋体" w:eastAsia="宋体" w:cs="Times New Roman"/>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38E381B2">
            <w:pPr>
              <w:rPr>
                <w:rFonts w:cs="Times New Roman"/>
              </w:rPr>
            </w:pPr>
            <w:r>
              <w:rPr>
                <w:rFonts w:hint="eastAsia"/>
              </w:rPr>
              <w:t>打印机</w:t>
            </w:r>
          </w:p>
        </w:tc>
        <w:tc>
          <w:tcPr>
            <w:tcW w:w="1213" w:type="dxa"/>
            <w:tcBorders>
              <w:top w:val="single" w:color="auto" w:sz="4" w:space="0"/>
              <w:left w:val="single" w:color="auto" w:sz="4" w:space="0"/>
              <w:bottom w:val="single" w:color="auto" w:sz="4" w:space="0"/>
              <w:right w:val="single" w:color="auto" w:sz="4" w:space="0"/>
            </w:tcBorders>
            <w:vAlign w:val="center"/>
          </w:tcPr>
          <w:p w14:paraId="283737E6">
            <w:pPr>
              <w:rPr>
                <w:rFonts w:cs="Times New Roman"/>
              </w:rPr>
            </w:pPr>
            <w:r>
              <w:rPr>
                <w:rFonts w:hint="eastAsia"/>
              </w:rPr>
              <w:t>2台</w:t>
            </w:r>
          </w:p>
        </w:tc>
      </w:tr>
      <w:tr w14:paraId="6B14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left w:val="single" w:color="auto" w:sz="4" w:space="0"/>
              <w:right w:val="single" w:color="auto" w:sz="4" w:space="0"/>
            </w:tcBorders>
            <w:vAlign w:val="center"/>
          </w:tcPr>
          <w:p w14:paraId="2A6854EA">
            <w:pPr>
              <w:widowControl/>
              <w:jc w:val="left"/>
              <w:rPr>
                <w:rFonts w:ascii="宋体" w:hAnsi="宋体" w:eastAsia="宋体" w:cs="Times New Roman"/>
                <w:szCs w:val="21"/>
              </w:rPr>
            </w:pPr>
          </w:p>
        </w:tc>
        <w:tc>
          <w:tcPr>
            <w:tcW w:w="1656" w:type="dxa"/>
            <w:vMerge w:val="continue"/>
            <w:tcBorders>
              <w:left w:val="single" w:color="auto" w:sz="4" w:space="0"/>
              <w:right w:val="single" w:color="auto" w:sz="4" w:space="0"/>
            </w:tcBorders>
            <w:vAlign w:val="center"/>
          </w:tcPr>
          <w:p w14:paraId="1F4EF08E">
            <w:pPr>
              <w:widowControl/>
              <w:jc w:val="left"/>
              <w:rPr>
                <w:rFonts w:ascii="宋体" w:hAnsi="宋体" w:eastAsia="宋体" w:cs="Times New Roman"/>
                <w:szCs w:val="21"/>
              </w:rPr>
            </w:pPr>
          </w:p>
        </w:tc>
        <w:tc>
          <w:tcPr>
            <w:tcW w:w="2351" w:type="dxa"/>
            <w:vMerge w:val="continue"/>
            <w:tcBorders>
              <w:left w:val="single" w:color="auto" w:sz="4" w:space="0"/>
              <w:right w:val="single" w:color="auto" w:sz="4" w:space="0"/>
            </w:tcBorders>
            <w:vAlign w:val="center"/>
          </w:tcPr>
          <w:p w14:paraId="046751BA">
            <w:pPr>
              <w:widowControl/>
              <w:jc w:val="left"/>
              <w:rPr>
                <w:rFonts w:ascii="宋体" w:hAnsi="宋体" w:eastAsia="宋体" w:cs="Times New Roman"/>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3A9CBC4E">
            <w:pPr>
              <w:rPr>
                <w:rFonts w:cs="Times New Roman"/>
              </w:rPr>
            </w:pPr>
            <w:r>
              <w:rPr>
                <w:rFonts w:hint="eastAsia"/>
              </w:rPr>
              <w:t>点钞机</w:t>
            </w:r>
          </w:p>
        </w:tc>
        <w:tc>
          <w:tcPr>
            <w:tcW w:w="1213" w:type="dxa"/>
            <w:tcBorders>
              <w:top w:val="single" w:color="auto" w:sz="4" w:space="0"/>
              <w:left w:val="single" w:color="auto" w:sz="4" w:space="0"/>
              <w:bottom w:val="single" w:color="auto" w:sz="4" w:space="0"/>
              <w:right w:val="single" w:color="auto" w:sz="4" w:space="0"/>
            </w:tcBorders>
            <w:vAlign w:val="center"/>
          </w:tcPr>
          <w:p w14:paraId="69DD0A36">
            <w:pPr>
              <w:rPr>
                <w:rFonts w:cs="Times New Roman"/>
              </w:rPr>
            </w:pPr>
            <w:r>
              <w:rPr>
                <w:rFonts w:hint="eastAsia"/>
              </w:rPr>
              <w:t>2台</w:t>
            </w:r>
          </w:p>
        </w:tc>
      </w:tr>
      <w:tr w14:paraId="14AF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left w:val="single" w:color="auto" w:sz="4" w:space="0"/>
              <w:right w:val="single" w:color="auto" w:sz="4" w:space="0"/>
            </w:tcBorders>
            <w:vAlign w:val="center"/>
          </w:tcPr>
          <w:p w14:paraId="10E3B0B8">
            <w:pPr>
              <w:spacing w:line="400" w:lineRule="exact"/>
              <w:jc w:val="center"/>
              <w:rPr>
                <w:rFonts w:ascii="宋体" w:hAnsi="宋体" w:eastAsia="宋体" w:cs="Times New Roman"/>
                <w:szCs w:val="21"/>
              </w:rPr>
            </w:pPr>
          </w:p>
        </w:tc>
        <w:tc>
          <w:tcPr>
            <w:tcW w:w="1656" w:type="dxa"/>
            <w:vMerge w:val="continue"/>
            <w:tcBorders>
              <w:left w:val="single" w:color="auto" w:sz="4" w:space="0"/>
              <w:right w:val="single" w:color="auto" w:sz="4" w:space="0"/>
            </w:tcBorders>
            <w:vAlign w:val="center"/>
          </w:tcPr>
          <w:p w14:paraId="7D980A13">
            <w:pPr>
              <w:spacing w:line="400" w:lineRule="exact"/>
              <w:jc w:val="center"/>
              <w:rPr>
                <w:rFonts w:ascii="宋体" w:hAnsi="宋体" w:eastAsia="宋体" w:cs="Times New Roman"/>
                <w:szCs w:val="21"/>
              </w:rPr>
            </w:pPr>
          </w:p>
        </w:tc>
        <w:tc>
          <w:tcPr>
            <w:tcW w:w="2351" w:type="dxa"/>
            <w:vMerge w:val="continue"/>
            <w:tcBorders>
              <w:left w:val="single" w:color="auto" w:sz="4" w:space="0"/>
              <w:right w:val="single" w:color="auto" w:sz="4" w:space="0"/>
            </w:tcBorders>
            <w:vAlign w:val="center"/>
          </w:tcPr>
          <w:p w14:paraId="2B9792FC">
            <w:pPr>
              <w:spacing w:line="400" w:lineRule="exact"/>
              <w:jc w:val="center"/>
              <w:rPr>
                <w:rFonts w:ascii="宋体" w:hAnsi="宋体" w:eastAsia="宋体" w:cs="Times New Roman"/>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5DCD7F7E">
            <w:pPr>
              <w:rPr>
                <w:rFonts w:cs="Times New Roman"/>
              </w:rPr>
            </w:pPr>
            <w:r>
              <w:rPr>
                <w:rFonts w:hint="eastAsia"/>
              </w:rPr>
              <w:t>打洞机</w:t>
            </w:r>
          </w:p>
        </w:tc>
        <w:tc>
          <w:tcPr>
            <w:tcW w:w="1213" w:type="dxa"/>
            <w:tcBorders>
              <w:top w:val="single" w:color="auto" w:sz="4" w:space="0"/>
              <w:left w:val="single" w:color="auto" w:sz="4" w:space="0"/>
              <w:bottom w:val="single" w:color="auto" w:sz="4" w:space="0"/>
              <w:right w:val="single" w:color="auto" w:sz="4" w:space="0"/>
            </w:tcBorders>
            <w:vAlign w:val="center"/>
          </w:tcPr>
          <w:p w14:paraId="5987E7F3">
            <w:pPr>
              <w:rPr>
                <w:rFonts w:cs="Times New Roman"/>
              </w:rPr>
            </w:pPr>
            <w:r>
              <w:rPr>
                <w:rFonts w:hint="eastAsia"/>
              </w:rPr>
              <w:t>2个</w:t>
            </w:r>
          </w:p>
        </w:tc>
      </w:tr>
      <w:tr w14:paraId="5390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left w:val="single" w:color="auto" w:sz="4" w:space="0"/>
              <w:right w:val="single" w:color="auto" w:sz="4" w:space="0"/>
            </w:tcBorders>
            <w:vAlign w:val="center"/>
          </w:tcPr>
          <w:p w14:paraId="3BA413D4">
            <w:pPr>
              <w:spacing w:line="400" w:lineRule="exact"/>
              <w:jc w:val="center"/>
              <w:rPr>
                <w:rFonts w:ascii="宋体" w:hAnsi="宋体" w:eastAsia="宋体" w:cs="Times New Roman"/>
                <w:szCs w:val="21"/>
              </w:rPr>
            </w:pPr>
          </w:p>
        </w:tc>
        <w:tc>
          <w:tcPr>
            <w:tcW w:w="1656" w:type="dxa"/>
            <w:vMerge w:val="continue"/>
            <w:tcBorders>
              <w:left w:val="single" w:color="auto" w:sz="4" w:space="0"/>
              <w:right w:val="single" w:color="auto" w:sz="4" w:space="0"/>
            </w:tcBorders>
            <w:vAlign w:val="center"/>
          </w:tcPr>
          <w:p w14:paraId="67D0FEEA">
            <w:pPr>
              <w:spacing w:line="400" w:lineRule="exact"/>
              <w:jc w:val="center"/>
              <w:rPr>
                <w:rFonts w:ascii="宋体" w:hAnsi="宋体" w:eastAsia="宋体" w:cs="Times New Roman"/>
                <w:szCs w:val="21"/>
              </w:rPr>
            </w:pPr>
          </w:p>
        </w:tc>
        <w:tc>
          <w:tcPr>
            <w:tcW w:w="2351" w:type="dxa"/>
            <w:vMerge w:val="continue"/>
            <w:tcBorders>
              <w:left w:val="single" w:color="auto" w:sz="4" w:space="0"/>
              <w:right w:val="single" w:color="auto" w:sz="4" w:space="0"/>
            </w:tcBorders>
            <w:vAlign w:val="center"/>
          </w:tcPr>
          <w:p w14:paraId="2C34C5CC">
            <w:pPr>
              <w:spacing w:line="400" w:lineRule="exact"/>
              <w:jc w:val="center"/>
              <w:rPr>
                <w:rFonts w:ascii="宋体" w:hAnsi="宋体" w:eastAsia="宋体" w:cs="Times New Roman"/>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7A2494A1">
            <w:pPr>
              <w:rPr>
                <w:rFonts w:cs="Times New Roman"/>
              </w:rPr>
            </w:pPr>
            <w:r>
              <w:rPr>
                <w:rFonts w:hint="eastAsia"/>
              </w:rPr>
              <w:t>实训台</w:t>
            </w:r>
          </w:p>
        </w:tc>
        <w:tc>
          <w:tcPr>
            <w:tcW w:w="1213" w:type="dxa"/>
            <w:tcBorders>
              <w:top w:val="single" w:color="auto" w:sz="4" w:space="0"/>
              <w:left w:val="single" w:color="auto" w:sz="4" w:space="0"/>
              <w:bottom w:val="single" w:color="auto" w:sz="4" w:space="0"/>
              <w:right w:val="single" w:color="auto" w:sz="4" w:space="0"/>
            </w:tcBorders>
            <w:vAlign w:val="center"/>
          </w:tcPr>
          <w:p w14:paraId="71AB52C7">
            <w:pPr>
              <w:rPr>
                <w:rFonts w:cs="Times New Roman"/>
              </w:rPr>
            </w:pPr>
            <w:r>
              <w:rPr>
                <w:rFonts w:hint="eastAsia"/>
              </w:rPr>
              <w:t>40个</w:t>
            </w:r>
          </w:p>
        </w:tc>
      </w:tr>
      <w:tr w14:paraId="0FF9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left w:val="single" w:color="auto" w:sz="4" w:space="0"/>
              <w:bottom w:val="single" w:color="auto" w:sz="4" w:space="0"/>
              <w:right w:val="single" w:color="auto" w:sz="4" w:space="0"/>
            </w:tcBorders>
            <w:vAlign w:val="center"/>
          </w:tcPr>
          <w:p w14:paraId="6717B3B5">
            <w:pPr>
              <w:spacing w:line="400" w:lineRule="exact"/>
              <w:jc w:val="center"/>
              <w:rPr>
                <w:rFonts w:ascii="宋体" w:hAnsi="宋体" w:eastAsia="宋体" w:cs="Times New Roman"/>
                <w:szCs w:val="21"/>
              </w:rPr>
            </w:pPr>
          </w:p>
        </w:tc>
        <w:tc>
          <w:tcPr>
            <w:tcW w:w="1656" w:type="dxa"/>
            <w:vMerge w:val="continue"/>
            <w:tcBorders>
              <w:left w:val="single" w:color="auto" w:sz="4" w:space="0"/>
              <w:bottom w:val="single" w:color="auto" w:sz="4" w:space="0"/>
              <w:right w:val="single" w:color="auto" w:sz="4" w:space="0"/>
            </w:tcBorders>
            <w:vAlign w:val="center"/>
          </w:tcPr>
          <w:p w14:paraId="4D566294">
            <w:pPr>
              <w:spacing w:line="400" w:lineRule="exact"/>
              <w:jc w:val="center"/>
              <w:rPr>
                <w:rFonts w:ascii="宋体" w:hAnsi="宋体" w:eastAsia="宋体" w:cs="Times New Roman"/>
                <w:szCs w:val="21"/>
              </w:rPr>
            </w:pPr>
          </w:p>
        </w:tc>
        <w:tc>
          <w:tcPr>
            <w:tcW w:w="2351" w:type="dxa"/>
            <w:vMerge w:val="continue"/>
            <w:tcBorders>
              <w:left w:val="single" w:color="auto" w:sz="4" w:space="0"/>
              <w:bottom w:val="single" w:color="auto" w:sz="4" w:space="0"/>
              <w:right w:val="single" w:color="auto" w:sz="4" w:space="0"/>
            </w:tcBorders>
            <w:vAlign w:val="center"/>
          </w:tcPr>
          <w:p w14:paraId="146CF99F">
            <w:pPr>
              <w:spacing w:line="400" w:lineRule="exact"/>
              <w:jc w:val="center"/>
              <w:rPr>
                <w:rFonts w:ascii="宋体" w:hAnsi="宋体" w:eastAsia="宋体" w:cs="Times New Roman"/>
                <w:szCs w:val="21"/>
              </w:rPr>
            </w:pPr>
          </w:p>
        </w:tc>
        <w:tc>
          <w:tcPr>
            <w:tcW w:w="2410" w:type="dxa"/>
            <w:tcBorders>
              <w:top w:val="single" w:color="auto" w:sz="4" w:space="0"/>
              <w:left w:val="single" w:color="auto" w:sz="4" w:space="0"/>
              <w:bottom w:val="single" w:color="auto" w:sz="4" w:space="0"/>
              <w:right w:val="single" w:color="auto" w:sz="4" w:space="0"/>
            </w:tcBorders>
            <w:vAlign w:val="center"/>
          </w:tcPr>
          <w:p w14:paraId="5A0FE1CF">
            <w:pPr>
              <w:rPr>
                <w:rFonts w:cs="Times New Roman"/>
              </w:rPr>
            </w:pPr>
            <w:r>
              <w:rPr>
                <w:rFonts w:hint="eastAsia"/>
              </w:rPr>
              <w:t>会计专用办公用品</w:t>
            </w:r>
          </w:p>
        </w:tc>
        <w:tc>
          <w:tcPr>
            <w:tcW w:w="1213" w:type="dxa"/>
            <w:tcBorders>
              <w:top w:val="single" w:color="auto" w:sz="4" w:space="0"/>
              <w:left w:val="single" w:color="auto" w:sz="4" w:space="0"/>
              <w:bottom w:val="single" w:color="auto" w:sz="4" w:space="0"/>
              <w:right w:val="single" w:color="auto" w:sz="4" w:space="0"/>
            </w:tcBorders>
            <w:vAlign w:val="center"/>
          </w:tcPr>
          <w:p w14:paraId="16C384C7">
            <w:pPr>
              <w:rPr>
                <w:rFonts w:cs="Times New Roman"/>
              </w:rPr>
            </w:pPr>
            <w:r>
              <w:rPr>
                <w:rFonts w:hint="eastAsia"/>
              </w:rPr>
              <w:t>40套</w:t>
            </w:r>
          </w:p>
        </w:tc>
      </w:tr>
    </w:tbl>
    <w:p w14:paraId="425EF3C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（2）校外实训场所基本要求</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655"/>
        <w:gridCol w:w="1246"/>
        <w:gridCol w:w="2665"/>
        <w:gridCol w:w="2064"/>
      </w:tblGrid>
      <w:tr w14:paraId="7F20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66" w:type="dxa"/>
            <w:tcBorders>
              <w:top w:val="single" w:color="auto" w:sz="4" w:space="0"/>
              <w:left w:val="single" w:color="auto" w:sz="4" w:space="0"/>
              <w:bottom w:val="single" w:color="auto" w:sz="4" w:space="0"/>
              <w:right w:val="single" w:color="auto" w:sz="4" w:space="0"/>
            </w:tcBorders>
            <w:vAlign w:val="center"/>
          </w:tcPr>
          <w:p w14:paraId="379083A5">
            <w:pPr>
              <w:spacing w:line="400" w:lineRule="exact"/>
              <w:jc w:val="center"/>
              <w:rPr>
                <w:rFonts w:ascii="宋体" w:hAnsi="宋体" w:eastAsia="宋体" w:cs="Times New Roman"/>
                <w:b/>
                <w:szCs w:val="21"/>
              </w:rPr>
            </w:pPr>
            <w:r>
              <w:rPr>
                <w:rFonts w:hint="eastAsia" w:ascii="宋体" w:hAnsi="宋体" w:eastAsia="宋体" w:cs="Times New Roman"/>
                <w:b/>
                <w:szCs w:val="21"/>
              </w:rPr>
              <w:t>序号</w:t>
            </w:r>
          </w:p>
        </w:tc>
        <w:tc>
          <w:tcPr>
            <w:tcW w:w="1655" w:type="dxa"/>
            <w:tcBorders>
              <w:top w:val="single" w:color="auto" w:sz="4" w:space="0"/>
              <w:left w:val="single" w:color="auto" w:sz="4" w:space="0"/>
              <w:bottom w:val="single" w:color="auto" w:sz="4" w:space="0"/>
              <w:right w:val="single" w:color="auto" w:sz="4" w:space="0"/>
            </w:tcBorders>
            <w:vAlign w:val="center"/>
          </w:tcPr>
          <w:p w14:paraId="4B1AEE37">
            <w:pPr>
              <w:spacing w:line="400" w:lineRule="exact"/>
              <w:jc w:val="center"/>
              <w:rPr>
                <w:rFonts w:ascii="宋体" w:hAnsi="宋体" w:eastAsia="宋体" w:cs="Times New Roman"/>
                <w:b/>
                <w:szCs w:val="21"/>
              </w:rPr>
            </w:pPr>
            <w:r>
              <w:rPr>
                <w:rFonts w:hint="eastAsia" w:ascii="宋体" w:hAnsi="宋体" w:eastAsia="宋体" w:cs="Times New Roman"/>
                <w:b/>
                <w:szCs w:val="21"/>
              </w:rPr>
              <w:t>实训基地名称</w:t>
            </w:r>
          </w:p>
        </w:tc>
        <w:tc>
          <w:tcPr>
            <w:tcW w:w="1246" w:type="dxa"/>
            <w:tcBorders>
              <w:top w:val="single" w:color="auto" w:sz="4" w:space="0"/>
              <w:left w:val="single" w:color="auto" w:sz="4" w:space="0"/>
              <w:bottom w:val="single" w:color="auto" w:sz="4" w:space="0"/>
              <w:right w:val="single" w:color="auto" w:sz="4" w:space="0"/>
            </w:tcBorders>
            <w:vAlign w:val="center"/>
          </w:tcPr>
          <w:p w14:paraId="1D7DB460">
            <w:pPr>
              <w:spacing w:line="400" w:lineRule="exact"/>
              <w:jc w:val="center"/>
              <w:rPr>
                <w:rFonts w:ascii="宋体" w:hAnsi="宋体" w:eastAsia="宋体" w:cs="Times New Roman"/>
                <w:b/>
                <w:szCs w:val="21"/>
              </w:rPr>
            </w:pPr>
            <w:r>
              <w:rPr>
                <w:rFonts w:hint="eastAsia" w:ascii="宋体" w:hAnsi="宋体" w:eastAsia="宋体" w:cs="Times New Roman"/>
                <w:b/>
                <w:szCs w:val="21"/>
              </w:rPr>
              <w:t>对应课程</w:t>
            </w:r>
          </w:p>
        </w:tc>
        <w:tc>
          <w:tcPr>
            <w:tcW w:w="2665" w:type="dxa"/>
            <w:tcBorders>
              <w:top w:val="single" w:color="auto" w:sz="4" w:space="0"/>
              <w:left w:val="single" w:color="auto" w:sz="4" w:space="0"/>
              <w:bottom w:val="single" w:color="auto" w:sz="4" w:space="0"/>
              <w:right w:val="single" w:color="auto" w:sz="4" w:space="0"/>
            </w:tcBorders>
            <w:vAlign w:val="center"/>
          </w:tcPr>
          <w:p w14:paraId="76D90262">
            <w:pPr>
              <w:snapToGrid w:val="0"/>
              <w:jc w:val="center"/>
              <w:rPr>
                <w:rFonts w:ascii="宋体" w:hAnsi="宋体" w:eastAsia="宋体" w:cs="Times New Roman"/>
                <w:b/>
                <w:szCs w:val="21"/>
              </w:rPr>
            </w:pPr>
            <w:r>
              <w:rPr>
                <w:rFonts w:hint="eastAsia" w:ascii="宋体" w:hAnsi="宋体" w:eastAsia="宋体" w:cs="Times New Roman"/>
                <w:b/>
                <w:szCs w:val="21"/>
              </w:rPr>
              <w:t>主要设施设备</w:t>
            </w:r>
          </w:p>
        </w:tc>
        <w:tc>
          <w:tcPr>
            <w:tcW w:w="2064" w:type="dxa"/>
            <w:tcBorders>
              <w:top w:val="single" w:color="auto" w:sz="4" w:space="0"/>
              <w:left w:val="single" w:color="auto" w:sz="4" w:space="0"/>
              <w:bottom w:val="single" w:color="auto" w:sz="4" w:space="0"/>
              <w:right w:val="single" w:color="auto" w:sz="4" w:space="0"/>
            </w:tcBorders>
            <w:vAlign w:val="center"/>
          </w:tcPr>
          <w:p w14:paraId="3237BCC6">
            <w:pPr>
              <w:snapToGrid w:val="0"/>
              <w:jc w:val="center"/>
              <w:rPr>
                <w:rFonts w:ascii="宋体" w:hAnsi="宋体" w:eastAsia="宋体" w:cs="Times New Roman"/>
                <w:b/>
                <w:szCs w:val="21"/>
              </w:rPr>
            </w:pPr>
            <w:r>
              <w:rPr>
                <w:rFonts w:hint="eastAsia" w:ascii="宋体" w:hAnsi="宋体" w:eastAsia="宋体" w:cs="Times New Roman"/>
                <w:b/>
                <w:szCs w:val="21"/>
              </w:rPr>
              <w:t>能开展的实训活动</w:t>
            </w:r>
          </w:p>
        </w:tc>
      </w:tr>
      <w:tr w14:paraId="680A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666" w:type="dxa"/>
            <w:tcBorders>
              <w:top w:val="single" w:color="auto" w:sz="4" w:space="0"/>
              <w:left w:val="single" w:color="auto" w:sz="4" w:space="0"/>
              <w:right w:val="single" w:color="auto" w:sz="4" w:space="0"/>
            </w:tcBorders>
            <w:vAlign w:val="center"/>
          </w:tcPr>
          <w:p w14:paraId="294F6116">
            <w:pPr>
              <w:rPr>
                <w:rFonts w:ascii="宋体" w:hAnsi="宋体" w:eastAsia="宋体" w:cs="Times New Roman"/>
                <w:szCs w:val="21"/>
              </w:rPr>
            </w:pPr>
            <w:r>
              <w:rPr>
                <w:rFonts w:hint="eastAsia"/>
              </w:rPr>
              <w:t>1</w:t>
            </w:r>
          </w:p>
        </w:tc>
        <w:tc>
          <w:tcPr>
            <w:tcW w:w="1655" w:type="dxa"/>
            <w:tcBorders>
              <w:top w:val="single" w:color="auto" w:sz="4" w:space="0"/>
              <w:left w:val="single" w:color="auto" w:sz="4" w:space="0"/>
              <w:right w:val="single" w:color="auto" w:sz="4" w:space="0"/>
            </w:tcBorders>
            <w:vAlign w:val="center"/>
          </w:tcPr>
          <w:p w14:paraId="49C47799">
            <w:r>
              <w:rPr>
                <w:rFonts w:hint="eastAsia"/>
              </w:rPr>
              <w:t>纳税申报</w:t>
            </w:r>
          </w:p>
          <w:p w14:paraId="0E222674">
            <w:pPr>
              <w:rPr>
                <w:rFonts w:ascii="宋体" w:hAnsi="宋体" w:eastAsia="宋体" w:cs="Times New Roman"/>
                <w:szCs w:val="21"/>
              </w:rPr>
            </w:pPr>
            <w:r>
              <w:rPr>
                <w:rFonts w:hint="eastAsia"/>
              </w:rPr>
              <w:t>实训基地</w:t>
            </w:r>
          </w:p>
        </w:tc>
        <w:tc>
          <w:tcPr>
            <w:tcW w:w="1246" w:type="dxa"/>
            <w:tcBorders>
              <w:top w:val="single" w:color="auto" w:sz="4" w:space="0"/>
              <w:left w:val="single" w:color="auto" w:sz="4" w:space="0"/>
              <w:right w:val="single" w:color="auto" w:sz="4" w:space="0"/>
            </w:tcBorders>
            <w:vAlign w:val="center"/>
          </w:tcPr>
          <w:p w14:paraId="223B4834">
            <w:r>
              <w:rPr>
                <w:rFonts w:hint="eastAsia"/>
              </w:rPr>
              <w:t>税收基础</w:t>
            </w:r>
          </w:p>
          <w:p w14:paraId="39A82298">
            <w:pPr>
              <w:rPr>
                <w:rFonts w:ascii="宋体" w:hAnsi="宋体" w:eastAsia="宋体" w:cs="Times New Roman"/>
                <w:szCs w:val="21"/>
              </w:rPr>
            </w:pPr>
            <w:r>
              <w:rPr>
                <w:rFonts w:hint="eastAsia"/>
              </w:rPr>
              <w:t>纳税实务</w:t>
            </w:r>
          </w:p>
        </w:tc>
        <w:tc>
          <w:tcPr>
            <w:tcW w:w="2665" w:type="dxa"/>
            <w:tcBorders>
              <w:top w:val="single" w:color="auto" w:sz="4" w:space="0"/>
              <w:left w:val="single" w:color="auto" w:sz="4" w:space="0"/>
              <w:right w:val="single" w:color="auto" w:sz="4" w:space="0"/>
            </w:tcBorders>
          </w:tcPr>
          <w:p w14:paraId="3E7DB8D6">
            <w:pPr>
              <w:pStyle w:val="175"/>
              <w:rPr>
                <w:lang w:eastAsia="zh-CN"/>
              </w:rPr>
            </w:pPr>
          </w:p>
          <w:p w14:paraId="7A8EE590">
            <w:pPr>
              <w:pStyle w:val="175"/>
              <w:rPr>
                <w:lang w:eastAsia="zh-CN"/>
              </w:rPr>
            </w:pPr>
          </w:p>
          <w:p w14:paraId="15A88FAD">
            <w:pPr>
              <w:pStyle w:val="175"/>
              <w:rPr>
                <w:lang w:eastAsia="zh-CN"/>
              </w:rPr>
            </w:pPr>
            <w:r>
              <w:rPr>
                <w:rFonts w:hint="eastAsia"/>
                <w:lang w:eastAsia="zh-CN"/>
              </w:rPr>
              <w:t>计算机及网络设备</w:t>
            </w:r>
          </w:p>
          <w:p w14:paraId="62C7EB4F">
            <w:r>
              <w:rPr>
                <w:rFonts w:hint="eastAsia"/>
              </w:rPr>
              <w:t>企业管理信息化软件</w:t>
            </w:r>
          </w:p>
          <w:p w14:paraId="12F5F529">
            <w:r>
              <w:rPr>
                <w:rFonts w:hint="eastAsia"/>
              </w:rPr>
              <w:t xml:space="preserve">模拟税局终端报税平台 </w:t>
            </w:r>
          </w:p>
          <w:p w14:paraId="12D8DFFF">
            <w:pPr>
              <w:rPr>
                <w:rFonts w:ascii="宋体" w:hAnsi="宋体" w:eastAsia="宋体" w:cs="Times New Roman"/>
                <w:szCs w:val="21"/>
              </w:rPr>
            </w:pPr>
            <w:r>
              <w:rPr>
                <w:rFonts w:hint="eastAsia"/>
                <w:bCs/>
                <w:color w:val="000000"/>
              </w:rPr>
              <w:t>报税RPA机器人工具</w:t>
            </w:r>
          </w:p>
        </w:tc>
        <w:tc>
          <w:tcPr>
            <w:tcW w:w="2064" w:type="dxa"/>
            <w:tcBorders>
              <w:top w:val="single" w:color="auto" w:sz="4" w:space="0"/>
              <w:left w:val="single" w:color="auto" w:sz="4" w:space="0"/>
              <w:bottom w:val="single" w:color="auto" w:sz="4" w:space="0"/>
              <w:right w:val="single" w:color="auto" w:sz="4" w:space="0"/>
            </w:tcBorders>
          </w:tcPr>
          <w:p w14:paraId="1128D757">
            <w:pPr>
              <w:pStyle w:val="175"/>
              <w:rPr>
                <w:lang w:eastAsia="zh-CN"/>
              </w:rPr>
            </w:pPr>
            <w:r>
              <w:rPr>
                <w:rFonts w:hint="eastAsia"/>
                <w:lang w:eastAsia="zh-CN"/>
              </w:rPr>
              <w:t>1.电子发票开具、审核与认证</w:t>
            </w:r>
          </w:p>
          <w:p w14:paraId="367E1446">
            <w:pPr>
              <w:pStyle w:val="175"/>
              <w:rPr>
                <w:lang w:eastAsia="zh-CN"/>
              </w:rPr>
            </w:pPr>
            <w:r>
              <w:rPr>
                <w:rFonts w:hint="eastAsia"/>
                <w:lang w:eastAsia="zh-CN"/>
              </w:rPr>
              <w:t>2.增值税及附加税申报</w:t>
            </w:r>
          </w:p>
          <w:p w14:paraId="40C07FF0">
            <w:pPr>
              <w:pStyle w:val="175"/>
              <w:rPr>
                <w:lang w:eastAsia="zh-CN"/>
              </w:rPr>
            </w:pPr>
            <w:r>
              <w:rPr>
                <w:rFonts w:hint="eastAsia"/>
                <w:lang w:eastAsia="zh-CN"/>
              </w:rPr>
              <w:t>3.企业所得税预缴申报</w:t>
            </w:r>
          </w:p>
          <w:p w14:paraId="7E079D96">
            <w:pPr>
              <w:rPr>
                <w:rFonts w:ascii="宋体" w:hAnsi="宋体" w:eastAsia="宋体" w:cs="Times New Roman"/>
                <w:szCs w:val="21"/>
              </w:rPr>
            </w:pPr>
            <w:r>
              <w:rPr>
                <w:rFonts w:hint="eastAsia"/>
              </w:rPr>
              <w:t>4.个人所得税申报</w:t>
            </w:r>
          </w:p>
        </w:tc>
      </w:tr>
    </w:tbl>
    <w:p w14:paraId="6275919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 实习场所基本要求</w:t>
      </w:r>
    </w:p>
    <w:p w14:paraId="5F68D7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39" w:name="_Toc109224864"/>
      <w:bookmarkStart w:id="40" w:name="_Toc70669117"/>
      <w:bookmarkStart w:id="41" w:name="_Toc117938459"/>
      <w:r>
        <w:rPr>
          <w:rFonts w:hint="eastAsia" w:ascii="仿宋_GB2312" w:hAnsi="仿宋_GB2312" w:eastAsia="仿宋_GB2312" w:cs="仿宋_GB2312"/>
          <w:sz w:val="24"/>
          <w:szCs w:val="28"/>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3A2F99A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根据本专业人才培养的需要和未来就业需求，实习基地应能提供财务会计、税务会计、税务专员、纳税代理、税务咨询、成本核算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48D27865">
      <w:pPr>
        <w:spacing w:line="400" w:lineRule="exact"/>
        <w:ind w:firstLine="480" w:firstLineChars="200"/>
        <w:outlineLvl w:val="1"/>
        <w:rPr>
          <w:rFonts w:ascii="仿宋" w:hAnsi="仿宋" w:eastAsia="仿宋" w:cs="仿宋"/>
          <w:szCs w:val="21"/>
          <w:shd w:val="clear" w:color="auto" w:fill="FFFF00"/>
        </w:rPr>
      </w:pPr>
      <w:bookmarkStart w:id="42" w:name="_Toc21587"/>
      <w:r>
        <w:rPr>
          <w:rFonts w:hint="eastAsia" w:ascii="楷体" w:hAnsi="楷体" w:eastAsia="楷体"/>
          <w:bCs/>
          <w:sz w:val="24"/>
          <w:szCs w:val="24"/>
        </w:rPr>
        <w:t>（三）教学资源</w:t>
      </w:r>
      <w:bookmarkEnd w:id="39"/>
      <w:bookmarkEnd w:id="40"/>
      <w:bookmarkEnd w:id="41"/>
      <w:bookmarkEnd w:id="42"/>
    </w:p>
    <w:p w14:paraId="26F242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主要包括能够满足学生专业学习、教师专业教学研究和教学实施需要的教材、图书及数字化资源等。</w:t>
      </w:r>
    </w:p>
    <w:p w14:paraId="6C5E7BE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1.教材选用要求</w:t>
      </w:r>
    </w:p>
    <w:p w14:paraId="71F3C48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按照国家规定，经过规范程序选用教材，优先选用国家规划教材、国家优秀教材和省级规划教材。专业课程教材应体现本行业新技术、新规范、新标准、新形态。学校应建立由专业教师、行企业专家和教研人员等参与的教材选用机制，完善教材选用制度。</w:t>
      </w:r>
    </w:p>
    <w:p w14:paraId="0E23972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2.图书资料配备要求</w:t>
      </w:r>
    </w:p>
    <w:p w14:paraId="7698CD5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图书资料配备应能满足人才培养、专业建设、教科研等工作的需要。专业类图书文献主要包括主要包括：经济类会计、税务、财政、金融等图书；法律类经济法图书；科学类互联网、大数据技术、人工智能等信息技术图书等及时配置新经济、新技术、新工艺、新材料、新管理方式、新服务方式等相关的图书资料。</w:t>
      </w:r>
    </w:p>
    <w:p w14:paraId="36E207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3.数字资源配备要求</w:t>
      </w:r>
    </w:p>
    <w:p w14:paraId="785EF4F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推进信息技术与教学有机融合，加快建设智能化教学支持环境，建设能够满足多样化需求的数字资源。建设、配备与本专业有关的音视频素材、教学课件、数字化教学案例库、虚拟仿真软件、数字教材等专业教学资源库，种类丰富、形式多样、使用便捷、动态更新、满足教学。</w:t>
      </w:r>
    </w:p>
    <w:p w14:paraId="4B035D56">
      <w:pPr>
        <w:spacing w:line="400" w:lineRule="exact"/>
        <w:ind w:firstLine="480" w:firstLineChars="200"/>
        <w:outlineLvl w:val="1"/>
        <w:rPr>
          <w:rFonts w:hint="eastAsia" w:ascii="楷体" w:hAnsi="楷体" w:eastAsia="楷体"/>
          <w:bCs/>
          <w:sz w:val="24"/>
          <w:szCs w:val="24"/>
        </w:rPr>
      </w:pPr>
      <w:bookmarkStart w:id="43" w:name="_Toc29530"/>
      <w:r>
        <w:rPr>
          <w:rFonts w:hint="eastAsia" w:ascii="楷体" w:hAnsi="楷体" w:eastAsia="楷体"/>
          <w:bCs/>
          <w:sz w:val="24"/>
          <w:szCs w:val="24"/>
        </w:rPr>
        <w:t>（四）教学</w:t>
      </w:r>
      <w:bookmarkEnd w:id="33"/>
      <w:bookmarkEnd w:id="34"/>
      <w:r>
        <w:rPr>
          <w:rFonts w:hint="eastAsia" w:ascii="楷体" w:hAnsi="楷体" w:eastAsia="楷体"/>
          <w:bCs/>
          <w:sz w:val="24"/>
          <w:szCs w:val="24"/>
        </w:rPr>
        <w:t>方法</w:t>
      </w:r>
      <w:bookmarkEnd w:id="43"/>
    </w:p>
    <w:p w14:paraId="31B2CB6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44" w:name="_Toc117938451"/>
      <w:bookmarkStart w:id="45" w:name="_Toc109224856"/>
      <w:r>
        <w:rPr>
          <w:rFonts w:hint="eastAsia" w:ascii="仿宋_GB2312" w:hAnsi="仿宋_GB2312" w:eastAsia="仿宋_GB2312" w:cs="仿宋_GB2312"/>
          <w:sz w:val="24"/>
          <w:szCs w:val="28"/>
        </w:rPr>
        <w:t>公共基础课程教学，要符合教育部有关教育教学及“三教”改革要求，打造优质课堂，推动课堂革命，调动学生学习积极性，为学生综合素质的提高、职业能力的形成和可持续发展奠定扎实基础。</w:t>
      </w:r>
    </w:p>
    <w:p w14:paraId="601A51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 xml:space="preserve">专业（技能）课程教学，要坚持校企合作、工学结合的人才培养模式，利用校内外实训基地，按照相应职业岗位（群）的能力要求，强化理论实践一体化，突出“做中学、做中教”的职业教育教学特色。普及项目教学、案例教学、情境教学、模块化教学等教学方式，广泛运用启发式、探究式、讨论式、参与式等教学方法，推广翻转课堂、混合式教学、理实一体教学等新型教学模式；将学生的自主学习、合作学习和教师引导教学有机结合，优化教学过程，提升学习效率。 </w:t>
      </w:r>
    </w:p>
    <w:p w14:paraId="68205D77">
      <w:pPr>
        <w:spacing w:line="400" w:lineRule="exact"/>
        <w:ind w:firstLine="480" w:firstLineChars="200"/>
        <w:outlineLvl w:val="1"/>
        <w:rPr>
          <w:rFonts w:hint="eastAsia" w:ascii="楷体" w:hAnsi="楷体" w:eastAsia="楷体"/>
          <w:bCs/>
          <w:sz w:val="24"/>
          <w:szCs w:val="24"/>
        </w:rPr>
      </w:pPr>
      <w:r>
        <w:rPr>
          <w:rFonts w:hint="eastAsia" w:ascii="楷体" w:hAnsi="楷体" w:eastAsia="楷体"/>
          <w:bCs/>
          <w:sz w:val="24"/>
          <w:szCs w:val="24"/>
        </w:rPr>
        <w:t xml:space="preserve"> </w:t>
      </w:r>
      <w:bookmarkStart w:id="46" w:name="_Toc22667"/>
      <w:r>
        <w:rPr>
          <w:rFonts w:hint="eastAsia" w:ascii="楷体" w:hAnsi="楷体" w:eastAsia="楷体"/>
          <w:bCs/>
          <w:sz w:val="24"/>
          <w:szCs w:val="24"/>
        </w:rPr>
        <w:t>（五）学习评价</w:t>
      </w:r>
      <w:bookmarkEnd w:id="44"/>
      <w:bookmarkEnd w:id="45"/>
      <w:bookmarkEnd w:id="46"/>
    </w:p>
    <w:p w14:paraId="54677DD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根据本专业培养目标和以人为本的发展理念，本专业积极改革学习评价模式，紧扣“人性化、多元化、发展化”的标准和要求，建立“4+2双向反馈式”教学评价模式。“4”是成立由“学校、企业、家长、学生”四方组成的各专业“学习评价委员会”，该评价委员会牵头每学期组织对学生进行综合评价一次，其中包括学校教师评价、企业专家评价、家长评价、学生代表评价。“2”是学生素养和技能评价。学生素养包括学生操行与基础课程，实行“百分制”量化考核，学生技能实行分等级评定的“德技并举”的评价手段。“双向反馈式”是指学生一入校时由学生家长向学校反馈，该生在家里以及在初中学校学习时的具体情况；入校学习后，由学校向学生家长反馈学生在校情况，分为平时反馈、学期末固定反馈和三年后学生毕业反馈，充分利用学校的“信息化”平台让每一位学生家长实时掌握自己的孩子在学校的具体情况。加强职业技能鉴定与学业考核的衔接，积极引入职业标准、企业规范，将企业的评价引入学业评价，激发学生学习技能的动力，强化实习、实训、毕业设计（论文）等实践性教学环节的全过程管理与考核评价。</w:t>
      </w:r>
    </w:p>
    <w:p w14:paraId="6AED9FEA">
      <w:pPr>
        <w:spacing w:line="400" w:lineRule="exact"/>
        <w:ind w:firstLine="480" w:firstLineChars="200"/>
        <w:outlineLvl w:val="1"/>
        <w:rPr>
          <w:rFonts w:hint="eastAsia" w:ascii="楷体" w:hAnsi="楷体" w:eastAsia="楷体"/>
          <w:bCs/>
          <w:sz w:val="24"/>
          <w:szCs w:val="24"/>
        </w:rPr>
      </w:pPr>
      <w:bookmarkStart w:id="47" w:name="_Toc31258"/>
      <w:r>
        <w:rPr>
          <w:rFonts w:hint="eastAsia" w:ascii="楷体" w:hAnsi="楷体" w:eastAsia="楷体"/>
          <w:bCs/>
          <w:sz w:val="24"/>
          <w:szCs w:val="24"/>
        </w:rPr>
        <w:t>（六）质量管理</w:t>
      </w:r>
      <w:bookmarkEnd w:id="47"/>
    </w:p>
    <w:p w14:paraId="6326BA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48" w:name="_Toc117938461"/>
      <w:r>
        <w:rPr>
          <w:rFonts w:hint="eastAsia" w:ascii="仿宋_GB2312" w:hAnsi="仿宋_GB2312" w:eastAsia="仿宋_GB2312" w:cs="仿宋_GB2312"/>
          <w:sz w:val="24"/>
          <w:szCs w:val="28"/>
        </w:rPr>
        <w:t>1.建立专业人才培养质量保障机制</w:t>
      </w:r>
    </w:p>
    <w:p w14:paraId="03CEE29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建立专业人才培养质量保障机制，健全专业教学质量监控管理制度，改进结果评价，强化过程评价，探索增值评价，健全综合评价。完善人才培养方案、课程标准、课堂评价、实验教学、实习实训、毕业设计以及资源建设等质量标准建设，通过教学实施、过程监控、质量评价和持续改进，达到人才培养规格要求。</w:t>
      </w:r>
    </w:p>
    <w:p w14:paraId="3EEE365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2.完善教学管理机制</w:t>
      </w:r>
    </w:p>
    <w:p w14:paraId="79D7FF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064BAD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3.建立专业建立集中备课制度</w:t>
      </w:r>
    </w:p>
    <w:p w14:paraId="2B3CB7C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专业教研组织应建立集中备课制度，定期召开教学研讨会议，利用评价分析结果有效改进专业教学，持续提高人才培养质量。</w:t>
      </w:r>
    </w:p>
    <w:p w14:paraId="5972A75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4.建立毕业生跟踪反馈机制及社会评价机制</w:t>
      </w:r>
    </w:p>
    <w:p w14:paraId="77F2F7D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建立毕业生跟踪反馈机制及社会评价机制，并对生源情况、在校生学业水平、毕业生就业情况等进行分析，定期评价人才培养质量和培养目标达成情况。</w:t>
      </w:r>
    </w:p>
    <w:p w14:paraId="0B262878">
      <w:pPr>
        <w:pStyle w:val="3"/>
        <w:snapToGrid w:val="0"/>
        <w:spacing w:before="0" w:after="0" w:line="400" w:lineRule="exact"/>
        <w:ind w:firstLine="480" w:firstLineChars="200"/>
        <w:jc w:val="both"/>
        <w:rPr>
          <w:rFonts w:ascii="黑体" w:hAnsi="Times New Roman"/>
          <w:sz w:val="24"/>
          <w:szCs w:val="21"/>
        </w:rPr>
      </w:pPr>
      <w:bookmarkStart w:id="49" w:name="_Toc6715"/>
      <w:r>
        <w:rPr>
          <w:rFonts w:hint="eastAsia" w:ascii="黑体" w:hAnsi="Times New Roman"/>
          <w:sz w:val="24"/>
          <w:szCs w:val="21"/>
        </w:rPr>
        <w:t>十、</w:t>
      </w:r>
      <w:r>
        <w:rPr>
          <w:rFonts w:ascii="黑体" w:hAnsi="Times New Roman"/>
          <w:sz w:val="24"/>
          <w:szCs w:val="21"/>
        </w:rPr>
        <w:t>毕业要求</w:t>
      </w:r>
      <w:bookmarkEnd w:id="48"/>
      <w:bookmarkEnd w:id="49"/>
    </w:p>
    <w:p w14:paraId="7BE7D081">
      <w:pPr>
        <w:spacing w:line="400" w:lineRule="exact"/>
        <w:ind w:firstLine="480" w:firstLineChars="200"/>
        <w:outlineLvl w:val="1"/>
        <w:rPr>
          <w:rFonts w:ascii="楷体" w:hAnsi="楷体" w:eastAsia="楷体"/>
          <w:sz w:val="24"/>
          <w:szCs w:val="24"/>
        </w:rPr>
      </w:pPr>
      <w:bookmarkStart w:id="50" w:name="_Toc730"/>
      <w:bookmarkStart w:id="51" w:name="_Toc117938462"/>
      <w:r>
        <w:rPr>
          <w:rFonts w:hint="eastAsia" w:ascii="楷体" w:hAnsi="楷体" w:eastAsia="楷体"/>
          <w:sz w:val="24"/>
          <w:szCs w:val="24"/>
        </w:rPr>
        <w:t>（一）学业考核要求</w:t>
      </w:r>
      <w:bookmarkEnd w:id="50"/>
      <w:bookmarkEnd w:id="51"/>
    </w:p>
    <w:p w14:paraId="7A59353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52" w:name="_Toc117938463"/>
      <w:r>
        <w:rPr>
          <w:rFonts w:hint="eastAsia" w:ascii="仿宋_GB2312" w:hAnsi="仿宋_GB2312" w:eastAsia="仿宋_GB2312" w:cs="仿宋_GB2312"/>
          <w:sz w:val="24"/>
          <w:szCs w:val="28"/>
        </w:rPr>
        <w:t>培养学生德、智、体、美全面发展，具有良好的职业道德、职业素养和综合职业能力，有正确的专业认同，掌握会计专业基础知识，具备进行日常会计核算、电算化软件应用、纳税申报等实践能力，具备必备的职业技能。学生在校期间完成公共基础课、专业课、综合实践课的学习,并获取相应学分，总学分不低于</w:t>
      </w:r>
      <w:r>
        <w:rPr>
          <w:rFonts w:hint="eastAsia" w:ascii="仿宋_GB2312" w:hAnsi="仿宋_GB2312" w:eastAsia="仿宋_GB2312" w:cs="仿宋_GB2312"/>
          <w:sz w:val="24"/>
          <w:szCs w:val="28"/>
          <w:lang w:val="en-US" w:eastAsia="zh-CN"/>
        </w:rPr>
        <w:t>172</w:t>
      </w:r>
      <w:r>
        <w:rPr>
          <w:rFonts w:hint="eastAsia" w:ascii="仿宋_GB2312" w:hAnsi="仿宋_GB2312" w:eastAsia="仿宋_GB2312" w:cs="仿宋_GB2312"/>
          <w:sz w:val="24"/>
          <w:szCs w:val="28"/>
        </w:rPr>
        <w:t>学分。努力完成一定的专业证书学分和综合素养学分。</w:t>
      </w:r>
    </w:p>
    <w:p w14:paraId="7D84C4E1">
      <w:pPr>
        <w:spacing w:line="400" w:lineRule="exact"/>
        <w:ind w:firstLine="480" w:firstLineChars="200"/>
        <w:outlineLvl w:val="1"/>
        <w:rPr>
          <w:rFonts w:ascii="楷体" w:hAnsi="楷体" w:eastAsia="楷体"/>
          <w:sz w:val="24"/>
          <w:szCs w:val="24"/>
        </w:rPr>
      </w:pPr>
      <w:bookmarkStart w:id="53" w:name="_Toc10149"/>
      <w:r>
        <w:rPr>
          <w:rFonts w:hint="eastAsia" w:ascii="楷体" w:hAnsi="楷体" w:eastAsia="楷体"/>
          <w:sz w:val="24"/>
          <w:szCs w:val="24"/>
        </w:rPr>
        <w:t>（二）证书考取要求</w:t>
      </w:r>
      <w:bookmarkEnd w:id="52"/>
      <w:bookmarkEnd w:id="53"/>
    </w:p>
    <w:p w14:paraId="00A2733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54" w:name="_Toc117938464"/>
      <w:r>
        <w:rPr>
          <w:rFonts w:hint="eastAsia" w:ascii="仿宋_GB2312" w:hAnsi="仿宋_GB2312" w:eastAsia="仿宋_GB2312" w:cs="仿宋_GB2312"/>
          <w:sz w:val="24"/>
          <w:szCs w:val="28"/>
        </w:rPr>
        <w:t>本专业学生学习公共基础课，具备中等职业学校本专业学生所必备的德育、语文、数学、英语、计算机应用基础、体育与健康等文化基础知识；学习专业基础课和技能课，学生掌握会计专业基础知识、涉税计算及纳税申报能力、金融认知及经济法基础知识，具备进行日常会计核算、电算化软件应用等实践能力，可考取以下证书：</w:t>
      </w:r>
    </w:p>
    <w:p w14:paraId="0E3670B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1.获得二级乙等以上普通话证书；</w:t>
      </w:r>
    </w:p>
    <w:p w14:paraId="568BC9F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2.获得全国计算机等级考试一级合格证书；</w:t>
      </w:r>
    </w:p>
    <w:p w14:paraId="39D634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_GB2312" w:hAnsi="Times New Roman" w:eastAsia="仿宋_GB2312" w:cs="Times New Roman"/>
          <w:sz w:val="24"/>
          <w:szCs w:val="24"/>
        </w:rPr>
      </w:pPr>
      <w:r>
        <w:rPr>
          <w:rFonts w:hint="eastAsia" w:ascii="仿宋_GB2312" w:hAnsi="仿宋_GB2312" w:eastAsia="仿宋_GB2312" w:cs="仿宋_GB2312"/>
          <w:sz w:val="24"/>
          <w:szCs w:val="28"/>
        </w:rPr>
        <w:t>3.至少取得1项财税专业职业技能等级证书（智能财税职业技能初级证书、财务共享服务职业技能初级证书、业财一体化职业技能初级证书）。</w:t>
      </w:r>
    </w:p>
    <w:p w14:paraId="65A5792C">
      <w:pPr>
        <w:spacing w:line="400" w:lineRule="exact"/>
        <w:ind w:firstLine="480" w:firstLineChars="200"/>
        <w:outlineLvl w:val="1"/>
        <w:rPr>
          <w:rFonts w:ascii="楷体" w:hAnsi="楷体" w:eastAsia="楷体"/>
          <w:sz w:val="24"/>
          <w:szCs w:val="24"/>
        </w:rPr>
      </w:pPr>
      <w:bookmarkStart w:id="55" w:name="_Toc12350"/>
      <w:r>
        <w:rPr>
          <w:rFonts w:hint="eastAsia" w:ascii="楷体" w:hAnsi="楷体" w:eastAsia="楷体"/>
          <w:sz w:val="24"/>
          <w:szCs w:val="24"/>
        </w:rPr>
        <w:t>（三）继续专业学习深造建议</w:t>
      </w:r>
      <w:bookmarkEnd w:id="54"/>
      <w:bookmarkEnd w:id="55"/>
    </w:p>
    <w:p w14:paraId="6A13A64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为体现终身学习的教育理念和职教高考升学的要求，学生在经过三年系统学习后参加职教高考，根据成绩可以继续升入省内部分本科院校或高等职业院校学习。可继续学习的专业如下： </w:t>
      </w:r>
    </w:p>
    <w:p w14:paraId="6142838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接续高职专科专业举例：大数据与会计、金融服务与管理、国际经济与贸易、大数据与财务管理、大数据与审计、金融科技应用等专业。</w:t>
      </w:r>
    </w:p>
    <w:p w14:paraId="5E5A1BB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接续普通本科专业举例：财务管理、金融工程、大数据与财务管理、金融管理、大数据与会计、会计学等专业。</w:t>
      </w:r>
    </w:p>
    <w:p w14:paraId="267368FC">
      <w:pPr>
        <w:spacing w:line="400" w:lineRule="exact"/>
        <w:ind w:firstLine="480" w:firstLineChars="200"/>
        <w:rPr>
          <w:rFonts w:ascii="仿宋_GB2312" w:hAnsi="Times New Roman" w:eastAsia="仿宋_GB2312" w:cs="Times New Roman"/>
          <w:sz w:val="24"/>
          <w:szCs w:val="24"/>
        </w:rPr>
      </w:pPr>
    </w:p>
    <w:p w14:paraId="22FDF160">
      <w:pPr>
        <w:rPr>
          <w:rFonts w:ascii="仿宋_GB2312" w:hAnsi="Times New Roman" w:eastAsia="仿宋_GB2312" w:cs="Times New Roman"/>
          <w:sz w:val="24"/>
          <w:szCs w:val="24"/>
        </w:rPr>
      </w:pPr>
      <w:r>
        <w:rPr>
          <w:rFonts w:ascii="仿宋_GB2312" w:hAnsi="Times New Roman" w:eastAsia="仿宋_GB2312" w:cs="Times New Roman"/>
          <w:sz w:val="24"/>
          <w:szCs w:val="24"/>
        </w:rPr>
        <w:br w:type="page"/>
      </w:r>
    </w:p>
    <w:p w14:paraId="1FA41FB2">
      <w:pPr>
        <w:spacing w:line="360" w:lineRule="auto"/>
        <w:ind w:firstLine="480" w:firstLineChars="200"/>
        <w:outlineLvl w:val="0"/>
        <w:rPr>
          <w:rFonts w:hint="default" w:ascii="Times New Roman" w:hAnsi="Times New Roman" w:eastAsia="黑体" w:cs="Times New Roman"/>
          <w:sz w:val="32"/>
          <w:szCs w:val="40"/>
          <w:lang w:val="en-US" w:eastAsia="zh-CN"/>
        </w:rPr>
      </w:pPr>
      <w:bookmarkStart w:id="56" w:name="_Toc14523"/>
      <w:bookmarkStart w:id="57" w:name="_Toc6018"/>
      <w:bookmarkStart w:id="58" w:name="_Toc5127"/>
      <w:bookmarkStart w:id="59" w:name="_Toc149987072"/>
      <w:r>
        <w:rPr>
          <w:rFonts w:hint="eastAsia" w:ascii="黑体" w:hAnsi="黑体" w:eastAsia="黑体"/>
          <w:sz w:val="24"/>
          <w:szCs w:val="24"/>
        </w:rPr>
        <w:t>附件：1.</w:t>
      </w:r>
      <w:r>
        <w:rPr>
          <w:rFonts w:hint="eastAsia" w:ascii="黑体" w:hAnsi="黑体" w:eastAsia="黑体"/>
          <w:sz w:val="24"/>
          <w:szCs w:val="24"/>
          <w:lang w:val="en-US" w:eastAsia="zh-CN"/>
        </w:rPr>
        <w:t>师资配备标准</w:t>
      </w:r>
      <w:bookmarkEnd w:id="56"/>
    </w:p>
    <w:p w14:paraId="0FB40A0F">
      <w:pPr>
        <w:overflowPunct w:val="0"/>
        <w:adjustRightInd w:val="0"/>
        <w:snapToGrid w:val="0"/>
        <w:spacing w:line="400" w:lineRule="atLeast"/>
        <w:jc w:val="center"/>
        <w:outlineLvl w:val="0"/>
        <w:rPr>
          <w:rFonts w:ascii="Times New Roman" w:hAnsi="Times New Roman" w:eastAsia="方正小标宋简体" w:cs="Times New Roman"/>
          <w:sz w:val="32"/>
          <w:szCs w:val="40"/>
        </w:rPr>
      </w:pPr>
      <w:bookmarkStart w:id="60" w:name="_Toc11783"/>
      <w:bookmarkStart w:id="61" w:name="_Toc25307"/>
      <w:bookmarkStart w:id="62" w:name="_Toc5517"/>
      <w:r>
        <w:rPr>
          <w:rFonts w:hint="eastAsia" w:ascii="Times New Roman" w:hAnsi="Times New Roman" w:eastAsia="方正小标宋简体" w:cs="Times New Roman"/>
          <w:sz w:val="32"/>
          <w:szCs w:val="40"/>
        </w:rPr>
        <w:t>会计事务</w:t>
      </w:r>
      <w:r>
        <w:rPr>
          <w:rFonts w:ascii="Times New Roman" w:hAnsi="Times New Roman" w:eastAsia="方正小标宋简体" w:cs="Times New Roman"/>
          <w:sz w:val="32"/>
          <w:szCs w:val="40"/>
        </w:rPr>
        <w:t>专业师资配备标准</w:t>
      </w:r>
      <w:bookmarkEnd w:id="57"/>
      <w:bookmarkEnd w:id="58"/>
      <w:bookmarkEnd w:id="59"/>
      <w:bookmarkEnd w:id="60"/>
      <w:bookmarkEnd w:id="61"/>
      <w:bookmarkEnd w:id="62"/>
    </w:p>
    <w:p w14:paraId="2B64919D">
      <w:pPr>
        <w:spacing w:line="400" w:lineRule="exact"/>
        <w:rPr>
          <w:rFonts w:ascii="Times New Roman" w:hAnsi="Times New Roman" w:eastAsia="仿宋_GB2312" w:cs="Times New Roman"/>
          <w:sz w:val="24"/>
          <w:szCs w:val="24"/>
        </w:rPr>
      </w:pPr>
    </w:p>
    <w:p w14:paraId="6548CE19">
      <w:pPr>
        <w:spacing w:line="400" w:lineRule="exact"/>
        <w:ind w:firstLine="480" w:firstLineChars="200"/>
        <w:rPr>
          <w:rFonts w:ascii="仿宋_GB2312" w:hAnsi="Times New Roman" w:eastAsia="仿宋_GB2312" w:cs="Times New Roman"/>
          <w:sz w:val="24"/>
          <w:szCs w:val="24"/>
        </w:rPr>
      </w:pPr>
      <w:r>
        <w:rPr>
          <w:rFonts w:ascii="仿宋_GB2312" w:hAnsi="Times New Roman" w:eastAsia="仿宋_GB2312" w:cs="Times New Roman"/>
          <w:sz w:val="24"/>
          <w:szCs w:val="24"/>
        </w:rPr>
        <w:t>依据《山东省教育厅关于印发〈山东省中等职业学校分级标准（试行）〉的通知》（鲁教职字〔2012〕1 号）、《山东省教育厅山东省经济和信息化委员会关于印发〈山东省中等职业学校专业建设分级标准（试行）〉的通知》（鲁教职字〔2012〕2 号）、教育部等四部门关于印发《深化新时代职业教育“双师型”教师队伍建设改革实施方案》的通知（教师〔2019〕6 号）、《中等职业学校教师专业标准（试行）》等文件为主要依据</w:t>
      </w:r>
      <w:r>
        <w:rPr>
          <w:rFonts w:hint="eastAsia" w:ascii="仿宋_GB2312" w:hAnsi="Times New Roman" w:eastAsia="仿宋_GB2312" w:cs="Times New Roman"/>
          <w:sz w:val="24"/>
          <w:szCs w:val="24"/>
        </w:rPr>
        <w:t>，而进行制订。</w:t>
      </w:r>
    </w:p>
    <w:p w14:paraId="40D4B7F1">
      <w:pPr>
        <w:spacing w:line="400" w:lineRule="exact"/>
        <w:jc w:val="center"/>
        <w:rPr>
          <w:rFonts w:ascii="Times New Roman" w:hAnsi="Times New Roman" w:eastAsia="仿宋_GB2312" w:cs="Times New Roman"/>
          <w:color w:val="FF0000"/>
          <w:sz w:val="24"/>
          <w:szCs w:val="24"/>
        </w:rPr>
      </w:pPr>
      <w:r>
        <w:rPr>
          <w:rFonts w:hint="eastAsia" w:ascii="Times New Roman" w:hAnsi="Times New Roman" w:eastAsia="仿宋_GB2312" w:cs="Times New Roman"/>
          <w:color w:val="000000" w:themeColor="text1"/>
          <w:sz w:val="24"/>
          <w:szCs w:val="24"/>
          <w14:textFill>
            <w14:solidFill>
              <w14:schemeClr w14:val="tx1"/>
            </w14:solidFill>
          </w14:textFill>
        </w:rPr>
        <w:t>会计事务</w:t>
      </w:r>
      <w:r>
        <w:rPr>
          <w:rFonts w:ascii="Times New Roman" w:hAnsi="Times New Roman" w:eastAsia="仿宋_GB2312" w:cs="Times New Roman"/>
          <w:color w:val="000000" w:themeColor="text1"/>
          <w:sz w:val="24"/>
          <w:szCs w:val="24"/>
          <w14:textFill>
            <w14:solidFill>
              <w14:schemeClr w14:val="tx1"/>
            </w14:solidFill>
          </w14:textFill>
        </w:rPr>
        <w:t>专业师资配备标准</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543"/>
        <w:gridCol w:w="3119"/>
        <w:gridCol w:w="650"/>
      </w:tblGrid>
      <w:tr w14:paraId="4719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8" w:type="dxa"/>
            <w:shd w:val="clear" w:color="auto" w:fill="D8D8D8" w:themeFill="background1" w:themeFillShade="D9"/>
            <w:vAlign w:val="center"/>
          </w:tcPr>
          <w:p w14:paraId="34EF8FE0">
            <w:pPr>
              <w:spacing w:line="400" w:lineRule="exact"/>
              <w:jc w:val="center"/>
              <w:rPr>
                <w:rFonts w:ascii="Times New Roman" w:hAnsi="Times New Roman" w:cs="Times New Roman"/>
                <w:b/>
                <w:szCs w:val="21"/>
              </w:rPr>
            </w:pPr>
            <w:r>
              <w:rPr>
                <w:rFonts w:ascii="Times New Roman" w:hAnsi="Times New Roman" w:cs="Times New Roman"/>
                <w:b/>
                <w:szCs w:val="21"/>
              </w:rPr>
              <w:t>类别</w:t>
            </w:r>
          </w:p>
        </w:tc>
        <w:tc>
          <w:tcPr>
            <w:tcW w:w="3543" w:type="dxa"/>
            <w:shd w:val="clear" w:color="auto" w:fill="D8D8D8" w:themeFill="background1" w:themeFillShade="D9"/>
            <w:vAlign w:val="center"/>
          </w:tcPr>
          <w:p w14:paraId="4A6D45A0">
            <w:pPr>
              <w:spacing w:line="400" w:lineRule="exact"/>
              <w:jc w:val="center"/>
              <w:rPr>
                <w:rFonts w:ascii="Times New Roman" w:hAnsi="Times New Roman" w:cs="Times New Roman"/>
                <w:b/>
                <w:szCs w:val="21"/>
              </w:rPr>
            </w:pPr>
            <w:r>
              <w:rPr>
                <w:rFonts w:ascii="Times New Roman" w:hAnsi="Times New Roman" w:cs="Times New Roman"/>
                <w:b/>
                <w:szCs w:val="21"/>
              </w:rPr>
              <w:t>标准要求</w:t>
            </w:r>
          </w:p>
        </w:tc>
        <w:tc>
          <w:tcPr>
            <w:tcW w:w="3119" w:type="dxa"/>
            <w:shd w:val="clear" w:color="auto" w:fill="D8D8D8" w:themeFill="background1" w:themeFillShade="D9"/>
            <w:vAlign w:val="center"/>
          </w:tcPr>
          <w:p w14:paraId="758E4199">
            <w:pPr>
              <w:spacing w:line="400" w:lineRule="exact"/>
              <w:jc w:val="center"/>
              <w:rPr>
                <w:rFonts w:ascii="Times New Roman" w:hAnsi="Times New Roman" w:cs="Times New Roman"/>
                <w:b/>
                <w:szCs w:val="21"/>
              </w:rPr>
            </w:pPr>
            <w:r>
              <w:rPr>
                <w:rFonts w:ascii="Times New Roman" w:hAnsi="Times New Roman" w:cs="Times New Roman"/>
                <w:b/>
                <w:szCs w:val="21"/>
              </w:rPr>
              <w:t>数量要求</w:t>
            </w:r>
          </w:p>
        </w:tc>
        <w:tc>
          <w:tcPr>
            <w:tcW w:w="650" w:type="dxa"/>
            <w:shd w:val="clear" w:color="auto" w:fill="D8D8D8" w:themeFill="background1" w:themeFillShade="D9"/>
            <w:vAlign w:val="center"/>
          </w:tcPr>
          <w:p w14:paraId="5F2BE4BC">
            <w:pPr>
              <w:spacing w:line="400" w:lineRule="exact"/>
              <w:jc w:val="center"/>
              <w:rPr>
                <w:rFonts w:ascii="Times New Roman" w:hAnsi="Times New Roman" w:cs="Times New Roman"/>
                <w:b/>
                <w:szCs w:val="21"/>
              </w:rPr>
            </w:pPr>
            <w:r>
              <w:rPr>
                <w:rFonts w:ascii="Times New Roman" w:hAnsi="Times New Roman" w:cs="Times New Roman"/>
                <w:b/>
                <w:szCs w:val="21"/>
              </w:rPr>
              <w:t>备注</w:t>
            </w:r>
          </w:p>
        </w:tc>
      </w:tr>
      <w:tr w14:paraId="4E59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293FB06">
            <w:pPr>
              <w:spacing w:line="360" w:lineRule="exact"/>
              <w:jc w:val="center"/>
              <w:rPr>
                <w:rFonts w:ascii="Times New Roman" w:hAnsi="Times New Roman" w:cs="Times New Roman"/>
                <w:szCs w:val="21"/>
              </w:rPr>
            </w:pPr>
            <w:r>
              <w:rPr>
                <w:rFonts w:ascii="Times New Roman" w:hAnsi="Times New Roman" w:cs="Times New Roman"/>
                <w:szCs w:val="21"/>
              </w:rPr>
              <w:t>公共基础课教师</w:t>
            </w:r>
          </w:p>
        </w:tc>
        <w:tc>
          <w:tcPr>
            <w:tcW w:w="3543" w:type="dxa"/>
            <w:vAlign w:val="center"/>
          </w:tcPr>
          <w:p w14:paraId="415A47B9">
            <w:pPr>
              <w:spacing w:line="360" w:lineRule="exact"/>
              <w:ind w:firstLine="420" w:firstLineChars="200"/>
              <w:rPr>
                <w:rFonts w:ascii="Times New Roman" w:hAnsi="Times New Roman" w:cs="Times New Roman"/>
                <w:szCs w:val="21"/>
              </w:rPr>
            </w:pPr>
            <w:r>
              <w:rPr>
                <w:rFonts w:ascii="Times New Roman" w:hAnsi="Times New Roman" w:cs="Times New Roman"/>
                <w:szCs w:val="21"/>
              </w:rPr>
              <w:t>具有本科及以上学历</w:t>
            </w:r>
            <w:r>
              <w:rPr>
                <w:rFonts w:hint="eastAsia" w:ascii="Times New Roman" w:hAnsi="Times New Roman" w:cs="Times New Roman"/>
                <w:szCs w:val="21"/>
              </w:rPr>
              <w:t>、中职及以上</w:t>
            </w:r>
            <w:r>
              <w:rPr>
                <w:rFonts w:ascii="Times New Roman" w:hAnsi="Times New Roman" w:cs="Times New Roman"/>
                <w:szCs w:val="21"/>
              </w:rPr>
              <w:t>教师任职资格。具有较高的文化知识和素养；语言表达和沟通能力较好；具有一定的职教理念；身心健康。</w:t>
            </w:r>
          </w:p>
        </w:tc>
        <w:tc>
          <w:tcPr>
            <w:tcW w:w="3119" w:type="dxa"/>
            <w:vAlign w:val="center"/>
          </w:tcPr>
          <w:p w14:paraId="741553F4">
            <w:pPr>
              <w:spacing w:line="360" w:lineRule="exact"/>
              <w:ind w:firstLine="420" w:firstLineChars="200"/>
              <w:rPr>
                <w:rFonts w:ascii="Times New Roman" w:hAnsi="Times New Roman" w:cs="Times New Roman"/>
                <w:szCs w:val="21"/>
              </w:rPr>
            </w:pPr>
            <w:r>
              <w:rPr>
                <w:rFonts w:ascii="Times New Roman" w:hAnsi="Times New Roman" w:cs="Times New Roman"/>
                <w:szCs w:val="21"/>
              </w:rPr>
              <w:t>具有本科学历</w:t>
            </w:r>
            <w:r>
              <w:rPr>
                <w:rFonts w:hint="eastAsia" w:ascii="Times New Roman" w:hAnsi="Times New Roman" w:cs="Times New Roman"/>
                <w:szCs w:val="21"/>
              </w:rPr>
              <w:t>占</w:t>
            </w:r>
            <w:r>
              <w:rPr>
                <w:rFonts w:ascii="Times New Roman" w:hAnsi="Times New Roman" w:cs="Times New Roman"/>
                <w:szCs w:val="21"/>
              </w:rPr>
              <w:t>95%以上；其中具有相关专业中级专业技术职务的人数不少于50%</w:t>
            </w:r>
            <w:r>
              <w:rPr>
                <w:rFonts w:hint="eastAsia" w:ascii="Times New Roman" w:hAnsi="Times New Roman" w:cs="Times New Roman"/>
                <w:szCs w:val="21"/>
              </w:rPr>
              <w:t>；满足开齐开足公共基础课程</w:t>
            </w:r>
            <w:r>
              <w:rPr>
                <w:rFonts w:ascii="Times New Roman" w:hAnsi="Times New Roman" w:cs="Times New Roman"/>
                <w:szCs w:val="21"/>
              </w:rPr>
              <w:t>。</w:t>
            </w:r>
          </w:p>
        </w:tc>
        <w:tc>
          <w:tcPr>
            <w:tcW w:w="650" w:type="dxa"/>
          </w:tcPr>
          <w:p w14:paraId="43AE7552">
            <w:pPr>
              <w:spacing w:line="400" w:lineRule="exact"/>
              <w:jc w:val="center"/>
              <w:rPr>
                <w:rFonts w:ascii="Times New Roman" w:hAnsi="Times New Roman" w:cs="Times New Roman"/>
                <w:szCs w:val="21"/>
              </w:rPr>
            </w:pPr>
          </w:p>
        </w:tc>
      </w:tr>
      <w:tr w14:paraId="6048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EEAF964">
            <w:pPr>
              <w:spacing w:line="360" w:lineRule="exact"/>
              <w:jc w:val="center"/>
              <w:rPr>
                <w:rFonts w:ascii="Times New Roman" w:hAnsi="Times New Roman" w:cs="Times New Roman"/>
                <w:szCs w:val="21"/>
              </w:rPr>
            </w:pPr>
            <w:r>
              <w:rPr>
                <w:rFonts w:ascii="Times New Roman" w:hAnsi="Times New Roman" w:cs="Times New Roman"/>
                <w:szCs w:val="21"/>
              </w:rPr>
              <w:t>专业课教师</w:t>
            </w:r>
          </w:p>
        </w:tc>
        <w:tc>
          <w:tcPr>
            <w:tcW w:w="3543" w:type="dxa"/>
            <w:vAlign w:val="center"/>
          </w:tcPr>
          <w:p w14:paraId="348570C1">
            <w:pPr>
              <w:spacing w:line="360" w:lineRule="exact"/>
              <w:ind w:firstLine="420" w:firstLineChars="200"/>
              <w:rPr>
                <w:rFonts w:ascii="Times New Roman" w:hAnsi="Times New Roman" w:cs="Times New Roman"/>
                <w:szCs w:val="21"/>
              </w:rPr>
            </w:pPr>
            <w:r>
              <w:rPr>
                <w:rFonts w:ascii="Times New Roman" w:hAnsi="Times New Roman" w:cs="Times New Roman"/>
                <w:szCs w:val="21"/>
              </w:rPr>
              <w:t>专</w:t>
            </w:r>
            <w:r>
              <w:rPr>
                <w:rFonts w:hint="eastAsia" w:ascii="Times New Roman" w:hAnsi="Times New Roman" w:cs="Times New Roman"/>
                <w:szCs w:val="21"/>
              </w:rPr>
              <w:t>业</w:t>
            </w:r>
            <w:r>
              <w:rPr>
                <w:rFonts w:ascii="Times New Roman" w:hAnsi="Times New Roman" w:cs="Times New Roman"/>
                <w:szCs w:val="21"/>
              </w:rPr>
              <w:t>教师具有</w:t>
            </w:r>
            <w:r>
              <w:rPr>
                <w:rFonts w:hint="eastAsia"/>
              </w:rPr>
              <w:t>会计</w:t>
            </w:r>
            <w:r>
              <w:rPr>
                <w:rFonts w:ascii="Times New Roman" w:hAnsi="Times New Roman" w:cs="Times New Roman"/>
                <w:szCs w:val="21"/>
              </w:rPr>
              <w:t>相关职业资格证书，具有</w:t>
            </w:r>
            <w:r>
              <w:rPr>
                <w:rFonts w:hint="eastAsia"/>
              </w:rPr>
              <w:t>会计</w:t>
            </w:r>
            <w:r>
              <w:rPr>
                <w:rFonts w:ascii="Times New Roman" w:hAnsi="Times New Roman" w:cs="Times New Roman"/>
                <w:szCs w:val="21"/>
              </w:rPr>
              <w:t>专业学历；具有本专业理论和实践能力；能够落实课程思政要求，挖掘专业课程中的思政教育元素和资源；胜任理论实践一体化教学，课堂和技能实训教学目标达成度高，具有熟练应用信息化教学设计的能力；能够运用信息技术开展混合式教学等教法改革；能够跟踪新经济、新技术发展前沿，开展社会服务；每年暑假或寒假至少有1个月在企业或实训基地实训，每5年累计不少于6个月的企业实践经历，具有丰富的企业实践，提升了实践教学能力。</w:t>
            </w:r>
          </w:p>
        </w:tc>
        <w:tc>
          <w:tcPr>
            <w:tcW w:w="3119" w:type="dxa"/>
            <w:vAlign w:val="center"/>
          </w:tcPr>
          <w:p w14:paraId="6FBD61CC">
            <w:pPr>
              <w:spacing w:line="360" w:lineRule="exact"/>
              <w:ind w:firstLine="420" w:firstLineChars="200"/>
              <w:rPr>
                <w:rFonts w:ascii="Times New Roman" w:hAnsi="Times New Roman" w:cs="Times New Roman"/>
                <w:szCs w:val="21"/>
              </w:rPr>
            </w:pPr>
            <w:r>
              <w:rPr>
                <w:rFonts w:ascii="Times New Roman" w:hAnsi="Times New Roman" w:cs="Times New Roman"/>
                <w:szCs w:val="21"/>
              </w:rPr>
              <w:t>专业专任教师与本专业在籍学生之比不低于1:</w:t>
            </w:r>
            <w:r>
              <w:rPr>
                <w:rFonts w:hint="eastAsia" w:ascii="Times New Roman" w:hAnsi="Times New Roman" w:cs="Times New Roman"/>
                <w:szCs w:val="21"/>
              </w:rPr>
              <w:t>3</w:t>
            </w:r>
            <w:r>
              <w:rPr>
                <w:rFonts w:ascii="Times New Roman" w:hAnsi="Times New Roman" w:cs="Times New Roman"/>
                <w:szCs w:val="21"/>
              </w:rPr>
              <w:t>0；专任专业教师本科学历95%以上，研究生学历（或硕士学位）5%以上，高级职称25%以上，获得高级工职业资格80%以上；获得与专业相关的技师职业资格或非教师系列中级技术职称或执业资格40%以上；制订校本教研工作方案，普遍开展校本教研和校本培训，每年40%以上专任专业教师参加市级以上培训和进修，年均师资培训经费不低于教师工资总额的8%。</w:t>
            </w:r>
          </w:p>
        </w:tc>
        <w:tc>
          <w:tcPr>
            <w:tcW w:w="650" w:type="dxa"/>
            <w:vAlign w:val="center"/>
          </w:tcPr>
          <w:p w14:paraId="7B1D2698">
            <w:pPr>
              <w:spacing w:line="400" w:lineRule="exact"/>
              <w:jc w:val="center"/>
              <w:rPr>
                <w:rFonts w:ascii="Times New Roman" w:hAnsi="Times New Roman" w:cs="Times New Roman"/>
                <w:szCs w:val="21"/>
              </w:rPr>
            </w:pPr>
            <w:r>
              <w:rPr>
                <w:rFonts w:ascii="Times New Roman" w:hAnsi="Times New Roman" w:cs="Times New Roman"/>
                <w:szCs w:val="21"/>
              </w:rPr>
              <w:t>专任教师师生比在1∶20以内。</w:t>
            </w:r>
          </w:p>
        </w:tc>
      </w:tr>
      <w:tr w14:paraId="74DF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vAlign w:val="center"/>
          </w:tcPr>
          <w:p w14:paraId="73FB9D07">
            <w:pPr>
              <w:spacing w:line="360" w:lineRule="exact"/>
              <w:jc w:val="center"/>
              <w:rPr>
                <w:rFonts w:ascii="Times New Roman" w:hAnsi="Times New Roman" w:cs="Times New Roman"/>
                <w:szCs w:val="21"/>
              </w:rPr>
            </w:pPr>
            <w:r>
              <w:rPr>
                <w:rFonts w:ascii="Times New Roman" w:hAnsi="Times New Roman" w:cs="Times New Roman"/>
                <w:szCs w:val="21"/>
              </w:rPr>
              <w:t>专业负责人</w:t>
            </w:r>
          </w:p>
        </w:tc>
        <w:tc>
          <w:tcPr>
            <w:tcW w:w="3543" w:type="dxa"/>
            <w:vAlign w:val="center"/>
          </w:tcPr>
          <w:p w14:paraId="2CDEDE9B">
            <w:pPr>
              <w:spacing w:line="360" w:lineRule="exact"/>
              <w:ind w:firstLine="420" w:firstLineChars="200"/>
              <w:rPr>
                <w:rFonts w:ascii="Times New Roman" w:hAnsi="Times New Roman" w:cs="Times New Roman"/>
                <w:szCs w:val="21"/>
              </w:rPr>
            </w:pPr>
            <w:r>
              <w:rPr>
                <w:rFonts w:ascii="Times New Roman" w:hAnsi="Times New Roman" w:cs="Times New Roman"/>
                <w:szCs w:val="21"/>
              </w:rPr>
              <w:t>具有</w:t>
            </w:r>
            <w:r>
              <w:rPr>
                <w:rFonts w:hint="eastAsia"/>
              </w:rPr>
              <w:t>会计</w:t>
            </w:r>
            <w:r>
              <w:rPr>
                <w:rFonts w:ascii="Times New Roman" w:hAnsi="Times New Roman" w:cs="Times New Roman"/>
                <w:szCs w:val="21"/>
              </w:rPr>
              <w:t>相关专业本科以上学历，高级讲师。具有高级职业资格证书，熟悉行业和本专业发展现状与趋势，积极参与企业项目，并经常参加本市行业企业的相关活动，社会知名度较高。</w:t>
            </w:r>
          </w:p>
          <w:p w14:paraId="75F6D3D0">
            <w:pPr>
              <w:spacing w:line="360" w:lineRule="exact"/>
              <w:ind w:firstLine="420" w:firstLineChars="200"/>
              <w:rPr>
                <w:rFonts w:ascii="Times New Roman" w:hAnsi="Times New Roman" w:cs="Times New Roman"/>
                <w:szCs w:val="21"/>
              </w:rPr>
            </w:pPr>
            <w:r>
              <w:rPr>
                <w:rFonts w:ascii="Times New Roman" w:hAnsi="Times New Roman" w:cs="Times New Roman"/>
                <w:szCs w:val="21"/>
              </w:rPr>
              <w:t>具有丰富的教学经验，同时教学能力强，教学水平高，受到师生的一致好评。教学研究能力强，主持过省级教研课题。具有较强的实践能力，能广泛联系</w:t>
            </w:r>
            <w:r>
              <w:rPr>
                <w:rFonts w:hint="eastAsia"/>
              </w:rPr>
              <w:t>会计</w:t>
            </w:r>
            <w:r>
              <w:rPr>
                <w:rFonts w:ascii="Times New Roman" w:hAnsi="Times New Roman" w:cs="Times New Roman"/>
                <w:szCs w:val="21"/>
              </w:rPr>
              <w:t>行业企业，了解</w:t>
            </w:r>
            <w:r>
              <w:rPr>
                <w:rFonts w:hint="eastAsia" w:ascii="Times New Roman" w:hAnsi="Times New Roman" w:cs="Times New Roman"/>
                <w:szCs w:val="21"/>
              </w:rPr>
              <w:t>XX</w:t>
            </w:r>
            <w:r>
              <w:rPr>
                <w:rFonts w:ascii="Times New Roman" w:hAnsi="Times New Roman" w:cs="Times New Roman"/>
                <w:szCs w:val="21"/>
              </w:rPr>
              <w:t>行业发展新趋势，准确把握行业企业用人需求，具有组织开展专业建设、教科研工作和企业服务的能力，在本专业改革发展中起引领作用。</w:t>
            </w:r>
          </w:p>
        </w:tc>
        <w:tc>
          <w:tcPr>
            <w:tcW w:w="3119" w:type="dxa"/>
            <w:vAlign w:val="center"/>
          </w:tcPr>
          <w:p w14:paraId="07DB0AE5">
            <w:pPr>
              <w:spacing w:line="360" w:lineRule="exact"/>
              <w:rPr>
                <w:rFonts w:ascii="Times New Roman" w:hAnsi="Times New Roman" w:cs="Times New Roman"/>
                <w:szCs w:val="21"/>
              </w:rPr>
            </w:pPr>
            <w:r>
              <w:rPr>
                <w:rFonts w:ascii="Times New Roman" w:hAnsi="Times New Roman" w:cs="Times New Roman"/>
                <w:szCs w:val="21"/>
              </w:rPr>
              <w:t>具有高级职称，从事本专业教学5年以上；具有与专业相关的技师职业资格或非教师系列中级技术职称执业资格；主持省级以上教学改革课题研究，或有2篇以上与专业相关的论文在省级以上刊物发表。</w:t>
            </w:r>
          </w:p>
        </w:tc>
        <w:tc>
          <w:tcPr>
            <w:tcW w:w="650" w:type="dxa"/>
          </w:tcPr>
          <w:p w14:paraId="5412E30A">
            <w:pPr>
              <w:spacing w:line="400" w:lineRule="exact"/>
              <w:rPr>
                <w:rFonts w:ascii="Times New Roman" w:hAnsi="Times New Roman" w:cs="Times New Roman"/>
                <w:szCs w:val="21"/>
              </w:rPr>
            </w:pPr>
          </w:p>
        </w:tc>
      </w:tr>
      <w:tr w14:paraId="6F87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F9B205B">
            <w:pPr>
              <w:spacing w:line="360" w:lineRule="exact"/>
              <w:jc w:val="center"/>
              <w:rPr>
                <w:rFonts w:ascii="Times New Roman" w:hAnsi="Times New Roman" w:cs="Times New Roman"/>
                <w:szCs w:val="21"/>
              </w:rPr>
            </w:pPr>
            <w:r>
              <w:rPr>
                <w:rFonts w:ascii="Times New Roman" w:hAnsi="Times New Roman" w:cs="Times New Roman"/>
                <w:szCs w:val="21"/>
              </w:rPr>
              <w:t>兼职教师</w:t>
            </w:r>
          </w:p>
        </w:tc>
        <w:tc>
          <w:tcPr>
            <w:tcW w:w="3543" w:type="dxa"/>
            <w:vAlign w:val="center"/>
          </w:tcPr>
          <w:p w14:paraId="31E3B8A4">
            <w:pPr>
              <w:spacing w:line="360" w:lineRule="exact"/>
              <w:ind w:firstLine="420" w:firstLineChars="200"/>
              <w:rPr>
                <w:rFonts w:ascii="Times New Roman" w:hAnsi="Times New Roman" w:cs="Times New Roman"/>
                <w:szCs w:val="21"/>
              </w:rPr>
            </w:pPr>
            <w:r>
              <w:rPr>
                <w:rFonts w:ascii="Times New Roman" w:hAnsi="Times New Roman" w:cs="Times New Roman"/>
                <w:szCs w:val="21"/>
              </w:rPr>
              <w:t>从</w:t>
            </w:r>
            <w:r>
              <w:rPr>
                <w:rFonts w:hint="eastAsia"/>
              </w:rPr>
              <w:t>会计</w:t>
            </w:r>
            <w:r>
              <w:rPr>
                <w:rFonts w:ascii="Times New Roman" w:hAnsi="Times New Roman" w:cs="Times New Roman"/>
                <w:szCs w:val="21"/>
              </w:rPr>
              <w:t>行业企业的高级技术技能人才中聘任，具有扎实的专业知识和丰富的实际工作经验，有</w:t>
            </w:r>
            <w:r>
              <w:rPr>
                <w:rFonts w:hint="eastAsia" w:ascii="Times New Roman" w:hAnsi="Times New Roman" w:cs="Times New Roman"/>
                <w:szCs w:val="21"/>
                <w:lang w:val="en-US" w:eastAsia="zh-CN"/>
              </w:rPr>
              <w:t>中级会计师及其以上</w:t>
            </w:r>
            <w:r>
              <w:rPr>
                <w:rFonts w:ascii="Times New Roman" w:hAnsi="Times New Roman" w:cs="Times New Roman"/>
                <w:szCs w:val="21"/>
              </w:rPr>
              <w:t>职称，他们了解教育教学规律，能承担专业课程教学、实习实训指导和学生职业发展规划指导等专业教学任务。</w:t>
            </w:r>
          </w:p>
        </w:tc>
        <w:tc>
          <w:tcPr>
            <w:tcW w:w="3119" w:type="dxa"/>
            <w:vAlign w:val="center"/>
          </w:tcPr>
          <w:p w14:paraId="393E2842">
            <w:pPr>
              <w:spacing w:line="360" w:lineRule="exact"/>
              <w:ind w:firstLine="420" w:firstLineChars="200"/>
              <w:rPr>
                <w:rFonts w:ascii="Times New Roman" w:hAnsi="Times New Roman" w:cs="Times New Roman"/>
                <w:szCs w:val="21"/>
              </w:rPr>
            </w:pPr>
            <w:r>
              <w:rPr>
                <w:rFonts w:ascii="Times New Roman" w:hAnsi="Times New Roman" w:cs="Times New Roman"/>
                <w:szCs w:val="21"/>
              </w:rPr>
              <w:t>聘请能工巧匠等兼职教师占专业教师比例25%，根据学校兼职教师管理制度实施。</w:t>
            </w:r>
          </w:p>
        </w:tc>
        <w:tc>
          <w:tcPr>
            <w:tcW w:w="650" w:type="dxa"/>
          </w:tcPr>
          <w:p w14:paraId="6EFB6EA1">
            <w:pPr>
              <w:spacing w:line="360" w:lineRule="exact"/>
              <w:rPr>
                <w:rFonts w:ascii="Times New Roman" w:hAnsi="Times New Roman" w:cs="Times New Roman"/>
                <w:szCs w:val="21"/>
              </w:rPr>
            </w:pPr>
          </w:p>
        </w:tc>
      </w:tr>
    </w:tbl>
    <w:p w14:paraId="106C2969">
      <w:pPr>
        <w:spacing w:line="400" w:lineRule="exact"/>
        <w:rPr>
          <w:rFonts w:ascii="仿宋_GB2312" w:hAnsi="Times New Roman" w:eastAsia="仿宋_GB2312" w:cs="Times New Roman"/>
          <w:sz w:val="24"/>
          <w:szCs w:val="24"/>
        </w:rPr>
      </w:pPr>
    </w:p>
    <w:p w14:paraId="477B7353">
      <w:pPr>
        <w:spacing w:line="400" w:lineRule="exact"/>
        <w:ind w:firstLine="480" w:firstLineChars="200"/>
        <w:rPr>
          <w:rFonts w:ascii="仿宋_GB2312" w:hAnsi="Times New Roman" w:eastAsia="仿宋_GB2312" w:cs="Times New Roman"/>
          <w:sz w:val="24"/>
          <w:szCs w:val="24"/>
        </w:rPr>
      </w:pPr>
    </w:p>
    <w:p w14:paraId="50923466">
      <w:pPr>
        <w:rPr>
          <w:rFonts w:ascii="仿宋_GB2312" w:hAnsi="Times New Roman" w:eastAsia="仿宋_GB2312" w:cs="Times New Roman"/>
          <w:sz w:val="24"/>
          <w:szCs w:val="24"/>
        </w:rPr>
      </w:pPr>
      <w:r>
        <w:rPr>
          <w:rFonts w:ascii="仿宋_GB2312" w:hAnsi="Times New Roman" w:eastAsia="仿宋_GB2312" w:cs="Times New Roman"/>
          <w:sz w:val="24"/>
          <w:szCs w:val="24"/>
        </w:rPr>
        <w:br w:type="page"/>
      </w:r>
    </w:p>
    <w:p w14:paraId="2DAE682D">
      <w:pPr>
        <w:spacing w:line="360" w:lineRule="auto"/>
        <w:ind w:firstLine="480" w:firstLineChars="200"/>
        <w:outlineLvl w:val="0"/>
        <w:rPr>
          <w:rFonts w:hint="default" w:ascii="黑体" w:hAnsi="黑体" w:eastAsia="黑体"/>
          <w:sz w:val="24"/>
          <w:szCs w:val="24"/>
          <w:lang w:val="en-US" w:eastAsia="zh-CN"/>
        </w:rPr>
      </w:pPr>
      <w:bookmarkStart w:id="63" w:name="_Toc23137"/>
      <w:bookmarkStart w:id="64" w:name="_Toc149987073"/>
      <w:bookmarkStart w:id="65" w:name="_Toc31648"/>
      <w:r>
        <w:rPr>
          <w:rFonts w:hint="eastAsia" w:ascii="黑体" w:hAnsi="黑体" w:eastAsia="黑体"/>
          <w:sz w:val="24"/>
          <w:szCs w:val="24"/>
        </w:rPr>
        <w:t>附件：1.</w:t>
      </w:r>
      <w:r>
        <w:rPr>
          <w:rFonts w:hint="eastAsia" w:ascii="黑体" w:hAnsi="黑体" w:eastAsia="黑体"/>
          <w:sz w:val="24"/>
          <w:szCs w:val="24"/>
          <w:lang w:val="en-US" w:eastAsia="zh-CN"/>
        </w:rPr>
        <w:t>实训室实训设备配备标准</w:t>
      </w:r>
      <w:bookmarkEnd w:id="63"/>
    </w:p>
    <w:p w14:paraId="1EE5F025">
      <w:pPr>
        <w:spacing w:line="400" w:lineRule="exact"/>
        <w:jc w:val="center"/>
        <w:outlineLvl w:val="0"/>
        <w:rPr>
          <w:rFonts w:ascii="Times New Roman" w:hAnsi="Times New Roman" w:eastAsia="方正小标宋简体" w:cs="Times New Roman"/>
          <w:sz w:val="32"/>
          <w:szCs w:val="32"/>
        </w:rPr>
      </w:pPr>
      <w:bookmarkStart w:id="66" w:name="_Toc20624"/>
      <w:bookmarkStart w:id="67" w:name="_Toc4108"/>
      <w:bookmarkStart w:id="68" w:name="_Toc15306"/>
      <w:r>
        <w:rPr>
          <w:rFonts w:hint="eastAsia" w:ascii="Times New Roman" w:hAnsi="Times New Roman" w:eastAsia="方正小标宋简体" w:cs="Times New Roman"/>
          <w:sz w:val="32"/>
          <w:szCs w:val="32"/>
        </w:rPr>
        <w:t>会计事务</w:t>
      </w:r>
      <w:r>
        <w:rPr>
          <w:rFonts w:ascii="Times New Roman" w:hAnsi="Times New Roman" w:eastAsia="方正小标宋简体" w:cs="Times New Roman"/>
          <w:sz w:val="32"/>
          <w:szCs w:val="32"/>
        </w:rPr>
        <w:t>专业技能实训室实训设备配备标准</w:t>
      </w:r>
      <w:bookmarkEnd w:id="64"/>
      <w:bookmarkEnd w:id="65"/>
      <w:bookmarkEnd w:id="66"/>
      <w:bookmarkEnd w:id="67"/>
      <w:bookmarkEnd w:id="68"/>
    </w:p>
    <w:p w14:paraId="5353681D">
      <w:pPr>
        <w:spacing w:line="400" w:lineRule="exact"/>
        <w:rPr>
          <w:rFonts w:ascii="Times New Roman" w:hAnsi="Times New Roman" w:eastAsia="仿宋_GB2312" w:cs="Times New Roman"/>
          <w:sz w:val="24"/>
          <w:szCs w:val="24"/>
        </w:rPr>
      </w:pPr>
    </w:p>
    <w:p w14:paraId="1E987E14">
      <w:pPr>
        <w:spacing w:line="400" w:lineRule="exact"/>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一、校内实训室</w:t>
      </w:r>
    </w:p>
    <w:p w14:paraId="7E37FAC5">
      <w:pPr>
        <w:spacing w:line="400" w:lineRule="exact"/>
        <w:ind w:firstLine="480" w:firstLineChars="200"/>
        <w:rPr>
          <w:rFonts w:ascii="Times New Roman" w:hAnsi="Times New Roman" w:eastAsia="楷体" w:cs="Times New Roman"/>
          <w:sz w:val="24"/>
          <w:szCs w:val="24"/>
        </w:rPr>
      </w:pPr>
      <w:r>
        <w:rPr>
          <w:rFonts w:ascii="Times New Roman" w:hAnsi="Times New Roman" w:eastAsia="楷体" w:cs="Times New Roman"/>
          <w:sz w:val="24"/>
          <w:szCs w:val="24"/>
        </w:rPr>
        <w:t>（一）参照依据</w:t>
      </w:r>
    </w:p>
    <w:p w14:paraId="2DDE6CBF">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参照《山东省教育厅关于印发〈山东省中等职业学校分级标准（试行）〉的通知》（鲁教职字〔2012〕1 号）和《山东省教育厅山东省经济和信息化委员会关于印发〈山东省中等职业学校专业建设分级标准（试行）〉的通知》（鲁教职字〔2012〕2 号）的有关要求。</w:t>
      </w:r>
    </w:p>
    <w:p w14:paraId="4F114818">
      <w:pPr>
        <w:spacing w:line="400" w:lineRule="exact"/>
        <w:ind w:firstLine="480" w:firstLineChars="200"/>
        <w:rPr>
          <w:rFonts w:ascii="Times New Roman" w:hAnsi="Times New Roman" w:eastAsia="楷体" w:cs="Times New Roman"/>
          <w:sz w:val="24"/>
          <w:szCs w:val="24"/>
        </w:rPr>
      </w:pPr>
      <w:r>
        <w:rPr>
          <w:rFonts w:ascii="Times New Roman" w:hAnsi="Times New Roman" w:eastAsia="楷体" w:cs="Times New Roman"/>
          <w:sz w:val="24"/>
          <w:szCs w:val="24"/>
        </w:rPr>
        <w:t>（二）级别划分</w:t>
      </w:r>
    </w:p>
    <w:p w14:paraId="618EAC5A">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1.基本原则</w:t>
      </w:r>
    </w:p>
    <w:p w14:paraId="1B5183E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根据我省中等职业学校专业建设标准（试行）、中等职业学校分级标准（试行），我校将会计专业技能实训室、教学仪器设备配备标准定位于示范级别。</w:t>
      </w:r>
    </w:p>
    <w:p w14:paraId="0499745C">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2.示范级别要求</w:t>
      </w:r>
    </w:p>
    <w:p w14:paraId="0EC521DF">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实训室配置具有满足教学计划规定的主要实训项目的教学设施设备，设施设备先进，数量和工位与办学规模相适应。教学设施能为潍坊市内同行学校所共享。实训设备总值不低于50万元；生均实训设备值不低于</w:t>
      </w:r>
      <w:r>
        <w:rPr>
          <w:rFonts w:hint="eastAsia" w:ascii="Times New Roman" w:hAnsi="Times New Roman" w:eastAsia="仿宋_GB2312" w:cs="Times New Roman"/>
          <w:sz w:val="24"/>
          <w:szCs w:val="24"/>
        </w:rPr>
        <w:t>5</w:t>
      </w:r>
      <w:r>
        <w:rPr>
          <w:rFonts w:hint="eastAsia" w:ascii="Times New Roman" w:hAnsi="Times New Roman" w:eastAsia="仿宋_GB2312" w:cs="Times New Roman"/>
          <w:sz w:val="24"/>
          <w:szCs w:val="24"/>
          <w:lang w:val="en-US" w:eastAsia="zh-CN"/>
        </w:rPr>
        <w:t>0</w:t>
      </w:r>
      <w:r>
        <w:rPr>
          <w:rFonts w:hint="eastAsia" w:ascii="Times New Roman" w:hAnsi="Times New Roman" w:eastAsia="仿宋_GB2312" w:cs="Times New Roman"/>
          <w:sz w:val="24"/>
          <w:szCs w:val="24"/>
        </w:rPr>
        <w:t>00</w:t>
      </w:r>
      <w:r>
        <w:rPr>
          <w:rFonts w:ascii="Times New Roman" w:hAnsi="Times New Roman" w:eastAsia="仿宋_GB2312" w:cs="Times New Roman"/>
          <w:sz w:val="24"/>
          <w:szCs w:val="24"/>
        </w:rPr>
        <w:t>元。实训项目开出率95%以上。</w:t>
      </w:r>
    </w:p>
    <w:p w14:paraId="6D0465BD">
      <w:pPr>
        <w:spacing w:line="400" w:lineRule="exact"/>
        <w:ind w:firstLine="480" w:firstLineChars="200"/>
        <w:rPr>
          <w:rFonts w:ascii="Times New Roman" w:hAnsi="Times New Roman" w:eastAsia="楷体" w:cs="Times New Roman"/>
          <w:sz w:val="24"/>
          <w:szCs w:val="24"/>
        </w:rPr>
      </w:pPr>
      <w:r>
        <w:rPr>
          <w:rFonts w:ascii="Times New Roman" w:hAnsi="Times New Roman" w:eastAsia="楷体" w:cs="Times New Roman"/>
          <w:sz w:val="24"/>
          <w:szCs w:val="24"/>
        </w:rPr>
        <w:t>（三）配备标准</w:t>
      </w:r>
    </w:p>
    <w:p w14:paraId="48C05D43">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本专业实训（实验）室建设应以培养会计行业高素质技术技能专门人才为目标，建设集专业教学、社会服务、职业技能鉴定和技术研发于一 体的校内综合实习实训基地。实训场地、仪器设备套数可按同时满足40 人/班开设实训（实验）教学的标准进行配置，专业根据在校生人数和建筑面积、实训（实验）教学分类和教学对应课程，确定实训（实验）室的建设数量，并建立一一对应的实训（实验）室。配置要求见下表：</w:t>
      </w:r>
    </w:p>
    <w:tbl>
      <w:tblPr>
        <w:tblStyle w:val="177"/>
        <w:tblW w:w="83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155"/>
        <w:gridCol w:w="2265"/>
        <w:gridCol w:w="705"/>
        <w:gridCol w:w="2145"/>
        <w:gridCol w:w="705"/>
        <w:gridCol w:w="645"/>
      </w:tblGrid>
      <w:tr w14:paraId="3FEA3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blHeader/>
        </w:trPr>
        <w:tc>
          <w:tcPr>
            <w:tcW w:w="706" w:type="dxa"/>
            <w:vMerge w:val="restart"/>
            <w:tcBorders>
              <w:top w:val="single" w:color="000000" w:sz="6" w:space="0"/>
              <w:left w:val="single" w:color="000000" w:sz="6" w:space="0"/>
              <w:bottom w:val="nil"/>
            </w:tcBorders>
            <w:shd w:val="clear" w:color="auto" w:fill="D7D7D7" w:themeFill="background1" w:themeFillShade="D8"/>
            <w:vAlign w:val="center"/>
          </w:tcPr>
          <w:p w14:paraId="777CF3F3">
            <w:pPr>
              <w:pStyle w:val="2"/>
              <w:ind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实训</w:t>
            </w:r>
          </w:p>
          <w:p w14:paraId="74E6C841">
            <w:pPr>
              <w:pStyle w:val="2"/>
              <w:ind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教学</w:t>
            </w:r>
          </w:p>
          <w:p w14:paraId="38055A98">
            <w:pPr>
              <w:pStyle w:val="2"/>
              <w:ind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分类</w:t>
            </w:r>
          </w:p>
        </w:tc>
        <w:tc>
          <w:tcPr>
            <w:tcW w:w="1155" w:type="dxa"/>
            <w:vMerge w:val="restart"/>
            <w:tcBorders>
              <w:top w:val="single" w:color="000000" w:sz="6" w:space="0"/>
              <w:bottom w:val="nil"/>
            </w:tcBorders>
            <w:shd w:val="clear" w:color="auto" w:fill="D7D7D7" w:themeFill="background1" w:themeFillShade="D8"/>
            <w:vAlign w:val="center"/>
          </w:tcPr>
          <w:p w14:paraId="79195BBC">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实训教</w:t>
            </w:r>
          </w:p>
          <w:p w14:paraId="6A988A60">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学场所</w:t>
            </w:r>
          </w:p>
        </w:tc>
        <w:tc>
          <w:tcPr>
            <w:tcW w:w="2265" w:type="dxa"/>
            <w:vMerge w:val="restart"/>
            <w:tcBorders>
              <w:top w:val="single" w:color="000000" w:sz="6" w:space="0"/>
              <w:bottom w:val="nil"/>
            </w:tcBorders>
            <w:shd w:val="clear" w:color="auto" w:fill="D7D7D7" w:themeFill="background1" w:themeFillShade="D8"/>
            <w:vAlign w:val="center"/>
          </w:tcPr>
          <w:p w14:paraId="402160A3">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实训教学任务</w:t>
            </w:r>
          </w:p>
        </w:tc>
        <w:tc>
          <w:tcPr>
            <w:tcW w:w="4200" w:type="dxa"/>
            <w:gridSpan w:val="4"/>
            <w:tcBorders>
              <w:top w:val="single" w:color="000000" w:sz="6" w:space="0"/>
              <w:right w:val="single" w:color="000000" w:sz="6" w:space="0"/>
            </w:tcBorders>
            <w:shd w:val="clear" w:color="auto" w:fill="D7D7D7" w:themeFill="background1" w:themeFillShade="D8"/>
            <w:vAlign w:val="center"/>
          </w:tcPr>
          <w:p w14:paraId="7C133755">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实    训    设    备</w:t>
            </w:r>
          </w:p>
        </w:tc>
      </w:tr>
      <w:tr w14:paraId="76E4D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blHeader/>
        </w:trPr>
        <w:tc>
          <w:tcPr>
            <w:tcW w:w="706" w:type="dxa"/>
            <w:vMerge w:val="continue"/>
            <w:tcBorders>
              <w:top w:val="nil"/>
              <w:left w:val="single" w:color="000000" w:sz="6" w:space="0"/>
              <w:bottom w:val="single" w:color="auto" w:sz="4" w:space="0"/>
            </w:tcBorders>
            <w:shd w:val="clear" w:color="auto" w:fill="D7D7D7" w:themeFill="background1" w:themeFillShade="D8"/>
            <w:vAlign w:val="center"/>
          </w:tcPr>
          <w:p w14:paraId="36D6D9B5">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p>
        </w:tc>
        <w:tc>
          <w:tcPr>
            <w:tcW w:w="1155" w:type="dxa"/>
            <w:vMerge w:val="continue"/>
            <w:tcBorders>
              <w:top w:val="nil"/>
              <w:bottom w:val="single" w:color="auto" w:sz="4" w:space="0"/>
            </w:tcBorders>
            <w:shd w:val="clear" w:color="auto" w:fill="D7D7D7" w:themeFill="background1" w:themeFillShade="D8"/>
            <w:vAlign w:val="center"/>
          </w:tcPr>
          <w:p w14:paraId="30BC97AD">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p>
        </w:tc>
        <w:tc>
          <w:tcPr>
            <w:tcW w:w="2265" w:type="dxa"/>
            <w:vMerge w:val="continue"/>
            <w:tcBorders>
              <w:top w:val="nil"/>
              <w:bottom w:val="single" w:color="auto" w:sz="4" w:space="0"/>
            </w:tcBorders>
            <w:shd w:val="clear" w:color="auto" w:fill="D7D7D7" w:themeFill="background1" w:themeFillShade="D8"/>
            <w:vAlign w:val="center"/>
          </w:tcPr>
          <w:p w14:paraId="50682BCF">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p>
        </w:tc>
        <w:tc>
          <w:tcPr>
            <w:tcW w:w="705" w:type="dxa"/>
            <w:tcBorders>
              <w:bottom w:val="single" w:color="auto" w:sz="4" w:space="0"/>
            </w:tcBorders>
            <w:shd w:val="clear" w:color="auto" w:fill="D7D7D7" w:themeFill="background1" w:themeFillShade="D8"/>
            <w:vAlign w:val="center"/>
          </w:tcPr>
          <w:p w14:paraId="55A8614D">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序号</w:t>
            </w:r>
          </w:p>
        </w:tc>
        <w:tc>
          <w:tcPr>
            <w:tcW w:w="2145" w:type="dxa"/>
            <w:tcBorders>
              <w:bottom w:val="single" w:color="auto" w:sz="4" w:space="0"/>
            </w:tcBorders>
            <w:shd w:val="clear" w:color="auto" w:fill="D7D7D7" w:themeFill="background1" w:themeFillShade="D8"/>
            <w:vAlign w:val="center"/>
          </w:tcPr>
          <w:p w14:paraId="4EDDB979">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名  称</w:t>
            </w:r>
          </w:p>
        </w:tc>
        <w:tc>
          <w:tcPr>
            <w:tcW w:w="705" w:type="dxa"/>
            <w:tcBorders>
              <w:bottom w:val="single" w:color="auto" w:sz="4" w:space="0"/>
            </w:tcBorders>
            <w:shd w:val="clear" w:color="auto" w:fill="D7D7D7" w:themeFill="background1" w:themeFillShade="D8"/>
            <w:vAlign w:val="center"/>
          </w:tcPr>
          <w:p w14:paraId="24587B92">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单位</w:t>
            </w:r>
          </w:p>
        </w:tc>
        <w:tc>
          <w:tcPr>
            <w:tcW w:w="645" w:type="dxa"/>
            <w:tcBorders>
              <w:bottom w:val="single" w:color="auto" w:sz="4" w:space="0"/>
            </w:tcBorders>
            <w:shd w:val="clear" w:color="auto" w:fill="D7D7D7" w:themeFill="background1" w:themeFillShade="D8"/>
            <w:vAlign w:val="center"/>
          </w:tcPr>
          <w:p w14:paraId="46CAC24C">
            <w:pPr>
              <w:pStyle w:val="2"/>
              <w:ind w:left="21" w:leftChars="10" w:right="21" w:rightChars="10" w:firstLine="0" w:firstLineChars="0"/>
              <w:jc w:val="center"/>
              <w:rPr>
                <w:rFonts w:ascii="Times New Roman" w:hAnsi="Times New Roman" w:eastAsiaTheme="minorEastAsia"/>
                <w:b/>
                <w:snapToGrid w:val="0"/>
                <w:color w:val="000000"/>
                <w:szCs w:val="21"/>
                <w:lang w:eastAsia="en-US"/>
              </w:rPr>
            </w:pPr>
            <w:r>
              <w:rPr>
                <w:rFonts w:ascii="Times New Roman" w:hAnsi="Times New Roman" w:eastAsiaTheme="minorEastAsia"/>
                <w:b/>
                <w:snapToGrid w:val="0"/>
                <w:color w:val="000000"/>
                <w:szCs w:val="21"/>
                <w:lang w:eastAsia="en-US"/>
              </w:rPr>
              <w:t>数量</w:t>
            </w:r>
          </w:p>
        </w:tc>
      </w:tr>
      <w:tr w14:paraId="17202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2927A501">
            <w:pPr>
              <w:pStyle w:val="178"/>
              <w:spacing w:line="360" w:lineRule="exact"/>
              <w:jc w:val="center"/>
              <w:rPr>
                <w:rFonts w:ascii="Times New Roman" w:hAnsi="Times New Roman" w:cs="Times New Roman" w:eastAsiaTheme="minorEastAsia"/>
                <w:color w:val="auto"/>
                <w:lang w:eastAsia="en-US"/>
              </w:rPr>
            </w:pPr>
            <w:r>
              <w:rPr>
                <w:rFonts w:ascii="Times New Roman" w:hAnsi="Times New Roman" w:cs="Times New Roman" w:eastAsiaTheme="minorEastAsia"/>
                <w:color w:val="auto"/>
                <w:lang w:eastAsia="en-US"/>
              </w:rPr>
              <w:t>基础实验室</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09C1A785">
            <w:pPr>
              <w:pStyle w:val="178"/>
              <w:rPr>
                <w:rFonts w:ascii="Times New Roman" w:hAnsi="Times New Roman" w:cs="Times New Roman" w:eastAsiaTheme="minorEastAsia"/>
                <w:color w:val="auto"/>
                <w:lang w:eastAsia="en-US"/>
              </w:rPr>
            </w:pPr>
            <w:r>
              <w:rPr>
                <w:rFonts w:hint="eastAsia" w:ascii="宋体" w:hAnsi="宋体" w:eastAsia="宋体" w:cs="宋体"/>
                <w:lang w:eastAsia="en-US"/>
              </w:rPr>
              <w:t>计算机实训室</w:t>
            </w:r>
          </w:p>
        </w:tc>
        <w:tc>
          <w:tcPr>
            <w:tcW w:w="2265" w:type="dxa"/>
            <w:vMerge w:val="restart"/>
            <w:tcBorders>
              <w:top w:val="single" w:color="auto" w:sz="4" w:space="0"/>
              <w:left w:val="single" w:color="auto" w:sz="4" w:space="0"/>
              <w:bottom w:val="single" w:color="auto" w:sz="4" w:space="0"/>
              <w:right w:val="single" w:color="auto" w:sz="4" w:space="0"/>
            </w:tcBorders>
            <w:vAlign w:val="center"/>
          </w:tcPr>
          <w:p w14:paraId="3CE2D0C4">
            <w:pPr>
              <w:rPr>
                <w:snapToGrid w:val="0"/>
                <w:color w:val="000000"/>
                <w:lang w:eastAsia="en-US"/>
              </w:rPr>
            </w:pPr>
            <w:r>
              <w:rPr>
                <w:snapToGrid w:val="0"/>
                <w:color w:val="000000"/>
                <w:lang w:eastAsia="en-US"/>
              </w:rPr>
              <w:t>1.</w:t>
            </w:r>
            <w:r>
              <w:rPr>
                <w:rFonts w:hint="eastAsia"/>
                <w:snapToGrid w:val="0"/>
                <w:color w:val="000000"/>
                <w:lang w:eastAsia="en-US"/>
              </w:rPr>
              <w:t xml:space="preserve"> 13项业务范围；</w:t>
            </w:r>
          </w:p>
          <w:p w14:paraId="7621C863">
            <w:pPr>
              <w:rPr>
                <w:rFonts w:ascii="Times New Roman" w:hAnsi="Times New Roman" w:cs="Times New Roman"/>
                <w:snapToGrid w:val="0"/>
                <w:color w:val="000000"/>
                <w:lang w:eastAsia="en-US"/>
              </w:rPr>
            </w:pPr>
            <w:r>
              <w:rPr>
                <w:snapToGrid w:val="0"/>
                <w:color w:val="000000"/>
                <w:lang w:eastAsia="en-US"/>
              </w:rPr>
              <w:t>2.</w:t>
            </w:r>
            <w:r>
              <w:rPr>
                <w:rFonts w:hint="eastAsia"/>
                <w:snapToGrid w:val="0"/>
                <w:color w:val="000000"/>
                <w:lang w:eastAsia="en-US"/>
              </w:rPr>
              <w:t>会计信息化8大技能模块</w:t>
            </w:r>
            <w:r>
              <w:rPr>
                <w:snapToGrid w:val="0"/>
                <w:color w:val="000000"/>
                <w:lang w:eastAsia="en-US"/>
              </w:rPr>
              <w:t>；</w:t>
            </w:r>
          </w:p>
        </w:tc>
        <w:tc>
          <w:tcPr>
            <w:tcW w:w="705" w:type="dxa"/>
            <w:tcBorders>
              <w:top w:val="single" w:color="auto" w:sz="4" w:space="0"/>
              <w:left w:val="single" w:color="auto" w:sz="4" w:space="0"/>
              <w:bottom w:val="single" w:color="auto" w:sz="4" w:space="0"/>
              <w:right w:val="single" w:color="auto" w:sz="4" w:space="0"/>
            </w:tcBorders>
            <w:vAlign w:val="center"/>
          </w:tcPr>
          <w:p w14:paraId="79FC4C89">
            <w:pPr>
              <w:pStyle w:val="178"/>
              <w:jc w:val="center"/>
              <w:rPr>
                <w:rFonts w:ascii="Times New Roman" w:hAnsi="Times New Roman" w:cs="Times New Roman" w:eastAsiaTheme="minorEastAsia"/>
                <w:color w:val="auto"/>
                <w:lang w:eastAsia="en-US"/>
              </w:rPr>
            </w:pPr>
            <w:r>
              <w:rPr>
                <w:lang w:eastAsia="en-US"/>
              </w:rPr>
              <w:t>1</w:t>
            </w:r>
          </w:p>
        </w:tc>
        <w:tc>
          <w:tcPr>
            <w:tcW w:w="2145" w:type="dxa"/>
            <w:tcBorders>
              <w:top w:val="single" w:color="auto" w:sz="4" w:space="0"/>
              <w:left w:val="single" w:color="auto" w:sz="4" w:space="0"/>
              <w:bottom w:val="single" w:color="auto" w:sz="4" w:space="0"/>
              <w:right w:val="single" w:color="auto" w:sz="4" w:space="0"/>
            </w:tcBorders>
            <w:vAlign w:val="center"/>
          </w:tcPr>
          <w:p w14:paraId="47F833F8">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计算机</w:t>
            </w:r>
          </w:p>
        </w:tc>
        <w:tc>
          <w:tcPr>
            <w:tcW w:w="705" w:type="dxa"/>
            <w:tcBorders>
              <w:top w:val="single" w:color="auto" w:sz="4" w:space="0"/>
              <w:left w:val="single" w:color="auto" w:sz="4" w:space="0"/>
              <w:bottom w:val="single" w:color="auto" w:sz="4" w:space="0"/>
              <w:right w:val="single" w:color="auto" w:sz="4" w:space="0"/>
            </w:tcBorders>
            <w:vAlign w:val="center"/>
          </w:tcPr>
          <w:p w14:paraId="023B629E">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台</w:t>
            </w:r>
          </w:p>
        </w:tc>
        <w:tc>
          <w:tcPr>
            <w:tcW w:w="645" w:type="dxa"/>
            <w:tcBorders>
              <w:top w:val="single" w:color="auto" w:sz="4" w:space="0"/>
              <w:left w:val="single" w:color="auto" w:sz="4" w:space="0"/>
              <w:bottom w:val="single" w:color="auto" w:sz="4" w:space="0"/>
              <w:right w:val="single" w:color="auto" w:sz="4" w:space="0"/>
            </w:tcBorders>
            <w:vAlign w:val="center"/>
          </w:tcPr>
          <w:p w14:paraId="4752C2E2">
            <w:pPr>
              <w:pStyle w:val="178"/>
              <w:jc w:val="center"/>
              <w:rPr>
                <w:rFonts w:ascii="Times New Roman" w:hAnsi="Times New Roman" w:cs="Times New Roman" w:eastAsiaTheme="minorEastAsia"/>
                <w:color w:val="auto"/>
                <w:lang w:eastAsia="en-US"/>
              </w:rPr>
            </w:pPr>
            <w:r>
              <w:rPr>
                <w:rFonts w:hint="eastAsia"/>
                <w:lang w:eastAsia="en-US"/>
              </w:rPr>
              <w:t>40</w:t>
            </w:r>
          </w:p>
        </w:tc>
      </w:tr>
      <w:tr w14:paraId="4A1D1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1D21B766">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4D659359">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top w:val="single" w:color="auto" w:sz="4" w:space="0"/>
              <w:left w:val="single" w:color="auto" w:sz="4" w:space="0"/>
              <w:bottom w:val="single" w:color="auto" w:sz="4" w:space="0"/>
              <w:right w:val="single" w:color="auto" w:sz="4" w:space="0"/>
            </w:tcBorders>
            <w:vAlign w:val="center"/>
          </w:tcPr>
          <w:p w14:paraId="1787B4DD">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71891175">
            <w:pPr>
              <w:pStyle w:val="178"/>
              <w:jc w:val="center"/>
              <w:rPr>
                <w:rFonts w:ascii="Times New Roman" w:hAnsi="Times New Roman" w:cs="Times New Roman" w:eastAsiaTheme="minorEastAsia"/>
                <w:color w:val="auto"/>
                <w:lang w:eastAsia="en-US"/>
              </w:rPr>
            </w:pPr>
            <w:r>
              <w:rPr>
                <w:rFonts w:ascii="Times New Roman" w:hAnsi="Times New Roman" w:cs="Times New Roman" w:eastAsiaTheme="minorEastAsia"/>
                <w:color w:val="auto"/>
                <w:lang w:eastAsia="en-US"/>
              </w:rPr>
              <w:t>2</w:t>
            </w:r>
          </w:p>
        </w:tc>
        <w:tc>
          <w:tcPr>
            <w:tcW w:w="2145" w:type="dxa"/>
            <w:tcBorders>
              <w:top w:val="single" w:color="auto" w:sz="4" w:space="0"/>
              <w:left w:val="single" w:color="auto" w:sz="4" w:space="0"/>
              <w:bottom w:val="single" w:color="auto" w:sz="4" w:space="0"/>
              <w:right w:val="single" w:color="auto" w:sz="4" w:space="0"/>
            </w:tcBorders>
            <w:vAlign w:val="center"/>
          </w:tcPr>
          <w:p w14:paraId="72672513">
            <w:pPr>
              <w:pStyle w:val="178"/>
              <w:jc w:val="center"/>
              <w:rPr>
                <w:rFonts w:ascii="Times New Roman" w:hAnsi="Times New Roman" w:cs="Times New Roman" w:eastAsiaTheme="minorEastAsia"/>
                <w:snapToGrid w:val="0"/>
                <w:color w:val="auto"/>
                <w:lang w:eastAsia="en-US"/>
              </w:rPr>
            </w:pPr>
            <w:r>
              <w:rPr>
                <w:rFonts w:hint="eastAsia" w:ascii="宋体" w:hAnsi="宋体" w:eastAsia="宋体" w:cs="宋体"/>
                <w:lang w:eastAsia="en-US"/>
              </w:rPr>
              <w:t>会计信信息化软件</w:t>
            </w:r>
          </w:p>
        </w:tc>
        <w:tc>
          <w:tcPr>
            <w:tcW w:w="705" w:type="dxa"/>
            <w:tcBorders>
              <w:top w:val="single" w:color="auto" w:sz="4" w:space="0"/>
              <w:left w:val="single" w:color="auto" w:sz="4" w:space="0"/>
              <w:bottom w:val="single" w:color="auto" w:sz="4" w:space="0"/>
              <w:right w:val="single" w:color="auto" w:sz="4" w:space="0"/>
            </w:tcBorders>
            <w:vAlign w:val="center"/>
          </w:tcPr>
          <w:p w14:paraId="73E557C5">
            <w:pPr>
              <w:pStyle w:val="178"/>
              <w:jc w:val="center"/>
              <w:rPr>
                <w:rFonts w:ascii="Times New Roman" w:hAnsi="Times New Roman" w:cs="Times New Roman" w:eastAsiaTheme="minorEastAsia"/>
                <w:snapToGrid w:val="0"/>
                <w:color w:val="auto"/>
                <w:lang w:eastAsia="en-US"/>
              </w:rPr>
            </w:pPr>
            <w:r>
              <w:rPr>
                <w:rFonts w:hint="eastAsia" w:ascii="宋体" w:hAnsi="宋体" w:eastAsia="宋体" w:cs="宋体"/>
                <w:lang w:eastAsia="en-US"/>
              </w:rPr>
              <w:t>套</w:t>
            </w:r>
          </w:p>
        </w:tc>
        <w:tc>
          <w:tcPr>
            <w:tcW w:w="645" w:type="dxa"/>
            <w:tcBorders>
              <w:top w:val="single" w:color="auto" w:sz="4" w:space="0"/>
              <w:left w:val="single" w:color="auto" w:sz="4" w:space="0"/>
              <w:bottom w:val="single" w:color="auto" w:sz="4" w:space="0"/>
              <w:right w:val="single" w:color="auto" w:sz="4" w:space="0"/>
            </w:tcBorders>
            <w:vAlign w:val="center"/>
          </w:tcPr>
          <w:p w14:paraId="59F846B9">
            <w:pPr>
              <w:pStyle w:val="178"/>
              <w:jc w:val="center"/>
              <w:rPr>
                <w:snapToGrid w:val="0"/>
                <w:lang w:eastAsia="en-US"/>
              </w:rPr>
            </w:pPr>
            <w:r>
              <w:rPr>
                <w:rFonts w:hint="eastAsia"/>
                <w:lang w:eastAsia="en-US"/>
              </w:rPr>
              <w:t>1</w:t>
            </w:r>
          </w:p>
        </w:tc>
      </w:tr>
      <w:tr w14:paraId="4E2E5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restart"/>
            <w:tcBorders>
              <w:top w:val="single" w:color="auto" w:sz="4" w:space="0"/>
              <w:left w:val="single" w:color="auto" w:sz="4" w:space="0"/>
              <w:right w:val="single" w:color="auto" w:sz="4" w:space="0"/>
            </w:tcBorders>
            <w:vAlign w:val="center"/>
          </w:tcPr>
          <w:p w14:paraId="69F42859">
            <w:pPr>
              <w:pStyle w:val="178"/>
              <w:spacing w:line="360" w:lineRule="exact"/>
              <w:jc w:val="center"/>
              <w:rPr>
                <w:rFonts w:ascii="Times New Roman" w:hAnsi="Times New Roman" w:cs="Times New Roman" w:eastAsiaTheme="minorEastAsia"/>
                <w:color w:val="auto"/>
                <w:lang w:eastAsia="en-US"/>
              </w:rPr>
            </w:pPr>
            <w:r>
              <w:rPr>
                <w:rFonts w:hint="eastAsia" w:ascii="Times New Roman" w:hAnsi="Times New Roman" w:cs="Times New Roman" w:eastAsiaTheme="minorEastAsia"/>
                <w:color w:val="auto"/>
                <w:lang w:eastAsia="en-US"/>
              </w:rPr>
              <w:t>技能</w:t>
            </w:r>
            <w:r>
              <w:rPr>
                <w:rFonts w:ascii="Times New Roman" w:hAnsi="Times New Roman" w:cs="Times New Roman" w:eastAsiaTheme="minorEastAsia"/>
                <w:color w:val="auto"/>
                <w:lang w:eastAsia="en-US"/>
              </w:rPr>
              <w:t>实验室</w:t>
            </w:r>
          </w:p>
        </w:tc>
        <w:tc>
          <w:tcPr>
            <w:tcW w:w="1155" w:type="dxa"/>
            <w:vMerge w:val="restart"/>
            <w:tcBorders>
              <w:top w:val="single" w:color="auto" w:sz="4" w:space="0"/>
              <w:left w:val="single" w:color="auto" w:sz="4" w:space="0"/>
              <w:right w:val="single" w:color="auto" w:sz="4" w:space="0"/>
            </w:tcBorders>
            <w:vAlign w:val="center"/>
          </w:tcPr>
          <w:p w14:paraId="1D6396A7">
            <w:pPr>
              <w:pStyle w:val="178"/>
              <w:rPr>
                <w:snapToGrid w:val="0"/>
                <w:lang w:eastAsia="en-US"/>
              </w:rPr>
            </w:pPr>
            <w:r>
              <w:rPr>
                <w:rFonts w:hint="eastAsia" w:ascii="宋体" w:hAnsi="宋体" w:eastAsia="宋体" w:cs="宋体"/>
                <w:lang w:eastAsia="en-US"/>
              </w:rPr>
              <w:t>点钞、手工实训室</w:t>
            </w:r>
          </w:p>
        </w:tc>
        <w:tc>
          <w:tcPr>
            <w:tcW w:w="2265" w:type="dxa"/>
            <w:vMerge w:val="restart"/>
            <w:tcBorders>
              <w:top w:val="single" w:color="auto" w:sz="4" w:space="0"/>
              <w:left w:val="single" w:color="auto" w:sz="4" w:space="0"/>
              <w:right w:val="single" w:color="auto" w:sz="4" w:space="0"/>
            </w:tcBorders>
            <w:vAlign w:val="center"/>
          </w:tcPr>
          <w:p w14:paraId="0E133F29">
            <w:pPr>
              <w:rPr>
                <w:snapToGrid w:val="0"/>
                <w:color w:val="000000"/>
                <w:lang w:eastAsia="en-US"/>
              </w:rPr>
            </w:pPr>
            <w:r>
              <w:rPr>
                <w:snapToGrid w:val="0"/>
                <w:color w:val="000000"/>
                <w:lang w:eastAsia="en-US"/>
              </w:rPr>
              <w:t>1.</w:t>
            </w:r>
            <w:r>
              <w:rPr>
                <w:rFonts w:hint="eastAsia"/>
                <w:snapToGrid w:val="0"/>
                <w:color w:val="000000"/>
                <w:lang w:eastAsia="en-US"/>
              </w:rPr>
              <w:t xml:space="preserve"> 10项业务范围；</w:t>
            </w:r>
          </w:p>
          <w:p w14:paraId="57C9A143">
            <w:pPr>
              <w:rPr>
                <w:snapToGrid w:val="0"/>
                <w:color w:val="000000"/>
                <w:lang w:eastAsia="en-US"/>
              </w:rPr>
            </w:pPr>
            <w:r>
              <w:rPr>
                <w:snapToGrid w:val="0"/>
                <w:color w:val="000000"/>
                <w:lang w:eastAsia="en-US"/>
              </w:rPr>
              <w:t>2.</w:t>
            </w:r>
            <w:r>
              <w:rPr>
                <w:rFonts w:hint="eastAsia"/>
                <w:snapToGrid w:val="0"/>
                <w:color w:val="000000"/>
                <w:lang w:eastAsia="en-US"/>
              </w:rPr>
              <w:t xml:space="preserve"> 6大技能模块</w:t>
            </w:r>
            <w:r>
              <w:rPr>
                <w:snapToGrid w:val="0"/>
                <w:color w:val="000000"/>
                <w:lang w:eastAsia="en-US"/>
              </w:rPr>
              <w:t>；</w:t>
            </w:r>
          </w:p>
          <w:p w14:paraId="48E0A93D">
            <w:pPr>
              <w:rPr>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65348D3A">
            <w:pPr>
              <w:pStyle w:val="178"/>
              <w:jc w:val="center"/>
              <w:rPr>
                <w:rFonts w:ascii="Times New Roman" w:hAnsi="Times New Roman" w:cs="Times New Roman" w:eastAsiaTheme="minorEastAsia"/>
                <w:color w:val="auto"/>
                <w:lang w:eastAsia="en-US"/>
              </w:rPr>
            </w:pPr>
            <w:r>
              <w:rPr>
                <w:lang w:eastAsia="en-US"/>
              </w:rPr>
              <w:t>1</w:t>
            </w:r>
          </w:p>
        </w:tc>
        <w:tc>
          <w:tcPr>
            <w:tcW w:w="2145" w:type="dxa"/>
            <w:tcBorders>
              <w:top w:val="single" w:color="auto" w:sz="4" w:space="0"/>
              <w:left w:val="single" w:color="auto" w:sz="4" w:space="0"/>
              <w:right w:val="single" w:color="auto" w:sz="4" w:space="0"/>
            </w:tcBorders>
            <w:vAlign w:val="center"/>
          </w:tcPr>
          <w:p w14:paraId="0E683367">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实训台</w:t>
            </w:r>
          </w:p>
        </w:tc>
        <w:tc>
          <w:tcPr>
            <w:tcW w:w="705" w:type="dxa"/>
            <w:tcBorders>
              <w:top w:val="single" w:color="auto" w:sz="4" w:space="0"/>
              <w:left w:val="single" w:color="auto" w:sz="4" w:space="0"/>
              <w:right w:val="single" w:color="auto" w:sz="4" w:space="0"/>
            </w:tcBorders>
            <w:vAlign w:val="center"/>
          </w:tcPr>
          <w:p w14:paraId="472B6DC8">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个</w:t>
            </w:r>
          </w:p>
        </w:tc>
        <w:tc>
          <w:tcPr>
            <w:tcW w:w="645" w:type="dxa"/>
            <w:tcBorders>
              <w:top w:val="single" w:color="auto" w:sz="4" w:space="0"/>
              <w:left w:val="single" w:color="auto" w:sz="4" w:space="0"/>
              <w:right w:val="single" w:color="auto" w:sz="4" w:space="0"/>
            </w:tcBorders>
            <w:vAlign w:val="center"/>
          </w:tcPr>
          <w:p w14:paraId="37ECF040">
            <w:pPr>
              <w:pStyle w:val="178"/>
              <w:jc w:val="center"/>
              <w:rPr>
                <w:rFonts w:ascii="Times New Roman" w:hAnsi="Times New Roman" w:cs="Times New Roman" w:eastAsiaTheme="minorEastAsia"/>
                <w:color w:val="auto"/>
                <w:lang w:eastAsia="en-US"/>
              </w:rPr>
            </w:pPr>
            <w:r>
              <w:rPr>
                <w:rFonts w:hint="eastAsia"/>
                <w:lang w:eastAsia="en-US"/>
              </w:rPr>
              <w:t>40</w:t>
            </w:r>
          </w:p>
        </w:tc>
      </w:tr>
      <w:tr w14:paraId="5976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right w:val="single" w:color="auto" w:sz="4" w:space="0"/>
            </w:tcBorders>
            <w:vAlign w:val="center"/>
          </w:tcPr>
          <w:p w14:paraId="4397F8FA">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right w:val="single" w:color="auto" w:sz="4" w:space="0"/>
            </w:tcBorders>
            <w:vAlign w:val="center"/>
          </w:tcPr>
          <w:p w14:paraId="2373143F">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right w:val="single" w:color="auto" w:sz="4" w:space="0"/>
            </w:tcBorders>
            <w:vAlign w:val="center"/>
          </w:tcPr>
          <w:p w14:paraId="7F3E25F0">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5DBBDD58">
            <w:pPr>
              <w:pStyle w:val="178"/>
              <w:jc w:val="center"/>
              <w:rPr>
                <w:rFonts w:ascii="Times New Roman" w:hAnsi="Times New Roman" w:cs="Times New Roman" w:eastAsiaTheme="minorEastAsia"/>
                <w:color w:val="auto"/>
                <w:lang w:eastAsia="en-US"/>
              </w:rPr>
            </w:pPr>
            <w:r>
              <w:rPr>
                <w:lang w:eastAsia="en-US"/>
              </w:rPr>
              <w:t>2</w:t>
            </w:r>
          </w:p>
        </w:tc>
        <w:tc>
          <w:tcPr>
            <w:tcW w:w="2145" w:type="dxa"/>
            <w:tcBorders>
              <w:top w:val="single" w:color="auto" w:sz="4" w:space="0"/>
              <w:left w:val="single" w:color="auto" w:sz="4" w:space="0"/>
              <w:right w:val="single" w:color="auto" w:sz="4" w:space="0"/>
            </w:tcBorders>
            <w:vAlign w:val="center"/>
          </w:tcPr>
          <w:p w14:paraId="56915849">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会计专用办公用品</w:t>
            </w:r>
          </w:p>
        </w:tc>
        <w:tc>
          <w:tcPr>
            <w:tcW w:w="705" w:type="dxa"/>
            <w:tcBorders>
              <w:top w:val="single" w:color="auto" w:sz="4" w:space="0"/>
              <w:left w:val="single" w:color="auto" w:sz="4" w:space="0"/>
              <w:right w:val="single" w:color="auto" w:sz="4" w:space="0"/>
            </w:tcBorders>
            <w:vAlign w:val="center"/>
          </w:tcPr>
          <w:p w14:paraId="01F50236">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套</w:t>
            </w:r>
          </w:p>
        </w:tc>
        <w:tc>
          <w:tcPr>
            <w:tcW w:w="645" w:type="dxa"/>
            <w:tcBorders>
              <w:top w:val="single" w:color="auto" w:sz="4" w:space="0"/>
              <w:left w:val="single" w:color="auto" w:sz="4" w:space="0"/>
              <w:right w:val="single" w:color="auto" w:sz="4" w:space="0"/>
            </w:tcBorders>
            <w:vAlign w:val="center"/>
          </w:tcPr>
          <w:p w14:paraId="64186028">
            <w:pPr>
              <w:pStyle w:val="178"/>
              <w:jc w:val="center"/>
              <w:rPr>
                <w:rFonts w:ascii="Times New Roman" w:hAnsi="Times New Roman" w:cs="Times New Roman" w:eastAsiaTheme="minorEastAsia"/>
                <w:color w:val="auto"/>
                <w:lang w:eastAsia="en-US"/>
              </w:rPr>
            </w:pPr>
            <w:r>
              <w:rPr>
                <w:rFonts w:hint="eastAsia"/>
                <w:lang w:eastAsia="en-US"/>
              </w:rPr>
              <w:t>40</w:t>
            </w:r>
          </w:p>
        </w:tc>
      </w:tr>
      <w:tr w14:paraId="1B0E1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right w:val="single" w:color="auto" w:sz="4" w:space="0"/>
            </w:tcBorders>
            <w:vAlign w:val="center"/>
          </w:tcPr>
          <w:p w14:paraId="40C2EC4A">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right w:val="single" w:color="auto" w:sz="4" w:space="0"/>
            </w:tcBorders>
            <w:vAlign w:val="center"/>
          </w:tcPr>
          <w:p w14:paraId="077511B2">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right w:val="single" w:color="auto" w:sz="4" w:space="0"/>
            </w:tcBorders>
            <w:vAlign w:val="center"/>
          </w:tcPr>
          <w:p w14:paraId="54E1E9DF">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266D764C">
            <w:pPr>
              <w:pStyle w:val="178"/>
              <w:jc w:val="center"/>
              <w:rPr>
                <w:rFonts w:ascii="Times New Roman" w:hAnsi="Times New Roman" w:cs="Times New Roman" w:eastAsiaTheme="minorEastAsia"/>
                <w:color w:val="auto"/>
                <w:lang w:eastAsia="en-US"/>
              </w:rPr>
            </w:pPr>
            <w:r>
              <w:rPr>
                <w:lang w:eastAsia="en-US"/>
              </w:rPr>
              <w:t>3</w:t>
            </w:r>
          </w:p>
        </w:tc>
        <w:tc>
          <w:tcPr>
            <w:tcW w:w="2145" w:type="dxa"/>
            <w:tcBorders>
              <w:top w:val="single" w:color="auto" w:sz="4" w:space="0"/>
              <w:left w:val="single" w:color="auto" w:sz="4" w:space="0"/>
              <w:right w:val="single" w:color="auto" w:sz="4" w:space="0"/>
            </w:tcBorders>
            <w:vAlign w:val="center"/>
          </w:tcPr>
          <w:p w14:paraId="3D848946">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文件柜</w:t>
            </w:r>
          </w:p>
        </w:tc>
        <w:tc>
          <w:tcPr>
            <w:tcW w:w="705" w:type="dxa"/>
            <w:tcBorders>
              <w:top w:val="single" w:color="auto" w:sz="4" w:space="0"/>
              <w:left w:val="single" w:color="auto" w:sz="4" w:space="0"/>
              <w:right w:val="single" w:color="auto" w:sz="4" w:space="0"/>
            </w:tcBorders>
            <w:vAlign w:val="center"/>
          </w:tcPr>
          <w:p w14:paraId="529F6E3F">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个</w:t>
            </w:r>
          </w:p>
        </w:tc>
        <w:tc>
          <w:tcPr>
            <w:tcW w:w="645" w:type="dxa"/>
            <w:tcBorders>
              <w:top w:val="single" w:color="auto" w:sz="4" w:space="0"/>
              <w:left w:val="single" w:color="auto" w:sz="4" w:space="0"/>
              <w:right w:val="single" w:color="auto" w:sz="4" w:space="0"/>
            </w:tcBorders>
            <w:vAlign w:val="center"/>
          </w:tcPr>
          <w:p w14:paraId="342B6C21">
            <w:pPr>
              <w:pStyle w:val="178"/>
              <w:jc w:val="center"/>
              <w:rPr>
                <w:rFonts w:ascii="Times New Roman" w:hAnsi="Times New Roman" w:cs="Times New Roman" w:eastAsiaTheme="minorEastAsia"/>
                <w:color w:val="auto"/>
                <w:lang w:eastAsia="en-US"/>
              </w:rPr>
            </w:pPr>
            <w:r>
              <w:rPr>
                <w:rFonts w:hint="eastAsia"/>
                <w:lang w:eastAsia="en-US"/>
              </w:rPr>
              <w:t>2</w:t>
            </w:r>
          </w:p>
        </w:tc>
      </w:tr>
      <w:tr w14:paraId="381C4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right w:val="single" w:color="auto" w:sz="4" w:space="0"/>
            </w:tcBorders>
            <w:vAlign w:val="center"/>
          </w:tcPr>
          <w:p w14:paraId="6CF77316">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right w:val="single" w:color="auto" w:sz="4" w:space="0"/>
            </w:tcBorders>
            <w:vAlign w:val="center"/>
          </w:tcPr>
          <w:p w14:paraId="02DF081C">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right w:val="single" w:color="auto" w:sz="4" w:space="0"/>
            </w:tcBorders>
            <w:vAlign w:val="center"/>
          </w:tcPr>
          <w:p w14:paraId="48D71F39">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2067BF07">
            <w:pPr>
              <w:pStyle w:val="178"/>
              <w:jc w:val="center"/>
              <w:rPr>
                <w:rFonts w:ascii="Times New Roman" w:hAnsi="Times New Roman" w:cs="Times New Roman" w:eastAsiaTheme="minorEastAsia"/>
                <w:color w:val="auto"/>
                <w:lang w:eastAsia="en-US"/>
              </w:rPr>
            </w:pPr>
            <w:r>
              <w:rPr>
                <w:rFonts w:hint="eastAsia"/>
                <w:lang w:eastAsia="en-US"/>
              </w:rPr>
              <w:t>4</w:t>
            </w:r>
          </w:p>
        </w:tc>
        <w:tc>
          <w:tcPr>
            <w:tcW w:w="2145" w:type="dxa"/>
            <w:tcBorders>
              <w:top w:val="single" w:color="auto" w:sz="4" w:space="0"/>
              <w:left w:val="single" w:color="auto" w:sz="4" w:space="0"/>
              <w:right w:val="single" w:color="auto" w:sz="4" w:space="0"/>
            </w:tcBorders>
            <w:vAlign w:val="center"/>
          </w:tcPr>
          <w:p w14:paraId="5B58214C">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点钞机</w:t>
            </w:r>
          </w:p>
        </w:tc>
        <w:tc>
          <w:tcPr>
            <w:tcW w:w="705" w:type="dxa"/>
            <w:tcBorders>
              <w:top w:val="single" w:color="auto" w:sz="4" w:space="0"/>
              <w:left w:val="single" w:color="auto" w:sz="4" w:space="0"/>
              <w:right w:val="single" w:color="auto" w:sz="4" w:space="0"/>
            </w:tcBorders>
            <w:vAlign w:val="center"/>
          </w:tcPr>
          <w:p w14:paraId="1CC69D7F">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台</w:t>
            </w:r>
          </w:p>
        </w:tc>
        <w:tc>
          <w:tcPr>
            <w:tcW w:w="645" w:type="dxa"/>
            <w:tcBorders>
              <w:top w:val="single" w:color="auto" w:sz="4" w:space="0"/>
              <w:left w:val="single" w:color="auto" w:sz="4" w:space="0"/>
              <w:right w:val="single" w:color="auto" w:sz="4" w:space="0"/>
            </w:tcBorders>
            <w:vAlign w:val="center"/>
          </w:tcPr>
          <w:p w14:paraId="5FC4DA51">
            <w:pPr>
              <w:pStyle w:val="178"/>
              <w:jc w:val="center"/>
              <w:rPr>
                <w:rFonts w:ascii="Times New Roman" w:hAnsi="Times New Roman" w:cs="Times New Roman" w:eastAsiaTheme="minorEastAsia"/>
                <w:color w:val="auto"/>
                <w:lang w:eastAsia="en-US"/>
              </w:rPr>
            </w:pPr>
            <w:r>
              <w:rPr>
                <w:rFonts w:hint="eastAsia"/>
                <w:lang w:eastAsia="en-US"/>
              </w:rPr>
              <w:t>2</w:t>
            </w:r>
          </w:p>
        </w:tc>
      </w:tr>
      <w:tr w14:paraId="63B86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right w:val="single" w:color="auto" w:sz="4" w:space="0"/>
            </w:tcBorders>
            <w:vAlign w:val="center"/>
          </w:tcPr>
          <w:p w14:paraId="574D7BD4">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right w:val="single" w:color="auto" w:sz="4" w:space="0"/>
            </w:tcBorders>
            <w:vAlign w:val="center"/>
          </w:tcPr>
          <w:p w14:paraId="3B444A88">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right w:val="single" w:color="auto" w:sz="4" w:space="0"/>
            </w:tcBorders>
            <w:vAlign w:val="center"/>
          </w:tcPr>
          <w:p w14:paraId="349E0C26">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222BC6C1">
            <w:pPr>
              <w:pStyle w:val="178"/>
              <w:jc w:val="center"/>
              <w:rPr>
                <w:rFonts w:ascii="Times New Roman" w:hAnsi="Times New Roman" w:cs="Times New Roman" w:eastAsiaTheme="minorEastAsia"/>
                <w:color w:val="auto"/>
                <w:lang w:eastAsia="en-US"/>
              </w:rPr>
            </w:pPr>
            <w:r>
              <w:rPr>
                <w:rFonts w:hint="eastAsia"/>
                <w:lang w:eastAsia="en-US"/>
              </w:rPr>
              <w:t>5</w:t>
            </w:r>
          </w:p>
        </w:tc>
        <w:tc>
          <w:tcPr>
            <w:tcW w:w="2145" w:type="dxa"/>
            <w:tcBorders>
              <w:top w:val="single" w:color="auto" w:sz="4" w:space="0"/>
              <w:left w:val="single" w:color="auto" w:sz="4" w:space="0"/>
              <w:right w:val="single" w:color="auto" w:sz="4" w:space="0"/>
            </w:tcBorders>
            <w:vAlign w:val="center"/>
          </w:tcPr>
          <w:p w14:paraId="2ED69865">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打印机</w:t>
            </w:r>
          </w:p>
        </w:tc>
        <w:tc>
          <w:tcPr>
            <w:tcW w:w="705" w:type="dxa"/>
            <w:tcBorders>
              <w:top w:val="single" w:color="auto" w:sz="4" w:space="0"/>
              <w:left w:val="single" w:color="auto" w:sz="4" w:space="0"/>
              <w:right w:val="single" w:color="auto" w:sz="4" w:space="0"/>
            </w:tcBorders>
            <w:vAlign w:val="center"/>
          </w:tcPr>
          <w:p w14:paraId="4A6003B3">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台</w:t>
            </w:r>
          </w:p>
        </w:tc>
        <w:tc>
          <w:tcPr>
            <w:tcW w:w="645" w:type="dxa"/>
            <w:tcBorders>
              <w:top w:val="single" w:color="auto" w:sz="4" w:space="0"/>
              <w:left w:val="single" w:color="auto" w:sz="4" w:space="0"/>
              <w:right w:val="single" w:color="auto" w:sz="4" w:space="0"/>
            </w:tcBorders>
            <w:vAlign w:val="center"/>
          </w:tcPr>
          <w:p w14:paraId="6222CB05">
            <w:pPr>
              <w:pStyle w:val="178"/>
              <w:jc w:val="center"/>
              <w:rPr>
                <w:rFonts w:ascii="Times New Roman" w:hAnsi="Times New Roman" w:cs="Times New Roman" w:eastAsiaTheme="minorEastAsia"/>
                <w:color w:val="auto"/>
                <w:lang w:eastAsia="en-US"/>
              </w:rPr>
            </w:pPr>
            <w:r>
              <w:rPr>
                <w:rFonts w:hint="eastAsia"/>
                <w:lang w:eastAsia="en-US"/>
              </w:rPr>
              <w:t>2</w:t>
            </w:r>
          </w:p>
        </w:tc>
      </w:tr>
      <w:tr w14:paraId="047FF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bottom w:val="single" w:color="auto" w:sz="4" w:space="0"/>
              <w:right w:val="single" w:color="auto" w:sz="4" w:space="0"/>
            </w:tcBorders>
            <w:vAlign w:val="center"/>
          </w:tcPr>
          <w:p w14:paraId="2E231D15">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bottom w:val="single" w:color="auto" w:sz="4" w:space="0"/>
              <w:right w:val="single" w:color="auto" w:sz="4" w:space="0"/>
            </w:tcBorders>
            <w:vAlign w:val="center"/>
          </w:tcPr>
          <w:p w14:paraId="5E31E5C4">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bottom w:val="single" w:color="auto" w:sz="4" w:space="0"/>
              <w:right w:val="single" w:color="auto" w:sz="4" w:space="0"/>
            </w:tcBorders>
            <w:vAlign w:val="center"/>
          </w:tcPr>
          <w:p w14:paraId="315BF38C">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71815CAB">
            <w:pPr>
              <w:pStyle w:val="178"/>
              <w:jc w:val="center"/>
              <w:rPr>
                <w:rFonts w:ascii="Times New Roman" w:hAnsi="Times New Roman" w:cs="Times New Roman" w:eastAsiaTheme="minorEastAsia"/>
                <w:color w:val="auto"/>
                <w:lang w:eastAsia="en-US"/>
              </w:rPr>
            </w:pPr>
            <w:r>
              <w:rPr>
                <w:rFonts w:hint="eastAsia"/>
                <w:lang w:eastAsia="en-US"/>
              </w:rPr>
              <w:t>6</w:t>
            </w:r>
          </w:p>
        </w:tc>
        <w:tc>
          <w:tcPr>
            <w:tcW w:w="2145" w:type="dxa"/>
            <w:tcBorders>
              <w:left w:val="single" w:color="auto" w:sz="4" w:space="0"/>
              <w:bottom w:val="single" w:color="auto" w:sz="4" w:space="0"/>
              <w:right w:val="single" w:color="auto" w:sz="4" w:space="0"/>
            </w:tcBorders>
            <w:vAlign w:val="center"/>
          </w:tcPr>
          <w:p w14:paraId="420010E3">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打洞机</w:t>
            </w:r>
          </w:p>
        </w:tc>
        <w:tc>
          <w:tcPr>
            <w:tcW w:w="705" w:type="dxa"/>
            <w:tcBorders>
              <w:left w:val="single" w:color="auto" w:sz="4" w:space="0"/>
              <w:bottom w:val="single" w:color="auto" w:sz="4" w:space="0"/>
              <w:right w:val="single" w:color="auto" w:sz="4" w:space="0"/>
            </w:tcBorders>
            <w:vAlign w:val="center"/>
          </w:tcPr>
          <w:p w14:paraId="206A75F0">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个</w:t>
            </w:r>
          </w:p>
        </w:tc>
        <w:tc>
          <w:tcPr>
            <w:tcW w:w="645" w:type="dxa"/>
            <w:tcBorders>
              <w:left w:val="single" w:color="auto" w:sz="4" w:space="0"/>
              <w:bottom w:val="single" w:color="auto" w:sz="4" w:space="0"/>
              <w:right w:val="single" w:color="auto" w:sz="4" w:space="0"/>
            </w:tcBorders>
            <w:vAlign w:val="center"/>
          </w:tcPr>
          <w:p w14:paraId="2BDCF751">
            <w:pPr>
              <w:pStyle w:val="178"/>
              <w:jc w:val="center"/>
              <w:rPr>
                <w:rFonts w:ascii="Times New Roman" w:hAnsi="Times New Roman" w:cs="Times New Roman" w:eastAsiaTheme="minorEastAsia"/>
                <w:color w:val="auto"/>
                <w:lang w:eastAsia="en-US"/>
              </w:rPr>
            </w:pPr>
            <w:r>
              <w:rPr>
                <w:rFonts w:hint="eastAsia"/>
                <w:lang w:eastAsia="en-US"/>
              </w:rPr>
              <w:t>2</w:t>
            </w:r>
          </w:p>
        </w:tc>
      </w:tr>
      <w:tr w14:paraId="1657C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restart"/>
            <w:tcBorders>
              <w:top w:val="single" w:color="auto" w:sz="4" w:space="0"/>
              <w:left w:val="single" w:color="auto" w:sz="4" w:space="0"/>
              <w:right w:val="single" w:color="auto" w:sz="4" w:space="0"/>
            </w:tcBorders>
            <w:vAlign w:val="center"/>
          </w:tcPr>
          <w:p w14:paraId="043836EE">
            <w:pPr>
              <w:pStyle w:val="178"/>
              <w:spacing w:line="360" w:lineRule="exact"/>
              <w:jc w:val="center"/>
              <w:rPr>
                <w:rFonts w:ascii="Times New Roman" w:hAnsi="Times New Roman" w:cs="Times New Roman" w:eastAsiaTheme="minorEastAsia"/>
                <w:color w:val="auto"/>
                <w:lang w:eastAsia="en-US"/>
              </w:rPr>
            </w:pPr>
            <w:r>
              <w:rPr>
                <w:rFonts w:hint="eastAsia" w:ascii="Times New Roman" w:hAnsi="Times New Roman" w:cs="Times New Roman" w:eastAsiaTheme="minorEastAsia"/>
                <w:color w:val="auto"/>
                <w:lang w:eastAsia="en-US"/>
              </w:rPr>
              <w:t>仿真模拟</w:t>
            </w:r>
            <w:r>
              <w:rPr>
                <w:rFonts w:ascii="Times New Roman" w:hAnsi="Times New Roman" w:cs="Times New Roman" w:eastAsiaTheme="minorEastAsia"/>
                <w:color w:val="auto"/>
                <w:lang w:eastAsia="en-US"/>
              </w:rPr>
              <w:t>室</w:t>
            </w:r>
          </w:p>
        </w:tc>
        <w:tc>
          <w:tcPr>
            <w:tcW w:w="1155" w:type="dxa"/>
            <w:vMerge w:val="restart"/>
            <w:tcBorders>
              <w:top w:val="single" w:color="auto" w:sz="4" w:space="0"/>
              <w:left w:val="single" w:color="auto" w:sz="4" w:space="0"/>
              <w:right w:val="single" w:color="auto" w:sz="4" w:space="0"/>
            </w:tcBorders>
            <w:vAlign w:val="center"/>
          </w:tcPr>
          <w:p w14:paraId="6BD4379D">
            <w:pPr>
              <w:pStyle w:val="178"/>
              <w:rPr>
                <w:snapToGrid w:val="0"/>
                <w:lang w:eastAsia="en-US"/>
              </w:rPr>
            </w:pPr>
            <w:r>
              <w:rPr>
                <w:rFonts w:hint="eastAsia" w:ascii="宋体" w:hAnsi="宋体" w:eastAsia="宋体" w:cs="宋体"/>
                <w:lang w:eastAsia="en-US"/>
              </w:rPr>
              <w:t>会计实训室</w:t>
            </w:r>
          </w:p>
        </w:tc>
        <w:tc>
          <w:tcPr>
            <w:tcW w:w="2265" w:type="dxa"/>
            <w:vMerge w:val="restart"/>
            <w:tcBorders>
              <w:top w:val="single" w:color="auto" w:sz="4" w:space="0"/>
              <w:left w:val="single" w:color="auto" w:sz="4" w:space="0"/>
              <w:right w:val="single" w:color="auto" w:sz="4" w:space="0"/>
            </w:tcBorders>
            <w:vAlign w:val="center"/>
          </w:tcPr>
          <w:p w14:paraId="28CC53BE">
            <w:pPr>
              <w:rPr>
                <w:snapToGrid w:val="0"/>
                <w:color w:val="000000"/>
                <w:lang w:eastAsia="en-US"/>
              </w:rPr>
            </w:pPr>
            <w:r>
              <w:rPr>
                <w:rFonts w:hint="eastAsia"/>
                <w:snapToGrid w:val="0"/>
                <w:color w:val="000000"/>
                <w:lang w:eastAsia="en-US"/>
              </w:rPr>
              <w:t xml:space="preserve"> 会计专业技能8大模块</w:t>
            </w:r>
            <w:r>
              <w:rPr>
                <w:snapToGrid w:val="0"/>
                <w:color w:val="000000"/>
                <w:lang w:eastAsia="en-US"/>
              </w:rPr>
              <w:t>；</w:t>
            </w:r>
          </w:p>
          <w:p w14:paraId="4CB43ABD">
            <w:pPr>
              <w:rPr>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1A19CE8E">
            <w:pPr>
              <w:pStyle w:val="178"/>
              <w:jc w:val="center"/>
              <w:rPr>
                <w:rFonts w:ascii="Times New Roman" w:hAnsi="Times New Roman" w:cs="Times New Roman" w:eastAsiaTheme="minorEastAsia"/>
                <w:color w:val="auto"/>
                <w:lang w:eastAsia="en-US"/>
              </w:rPr>
            </w:pPr>
            <w:r>
              <w:rPr>
                <w:rFonts w:hint="eastAsia"/>
                <w:lang w:eastAsia="en-US"/>
              </w:rPr>
              <w:t>1</w:t>
            </w:r>
          </w:p>
        </w:tc>
        <w:tc>
          <w:tcPr>
            <w:tcW w:w="2145" w:type="dxa"/>
            <w:tcBorders>
              <w:top w:val="single" w:color="auto" w:sz="4" w:space="0"/>
              <w:left w:val="single" w:color="auto" w:sz="4" w:space="0"/>
              <w:right w:val="single" w:color="auto" w:sz="4" w:space="0"/>
            </w:tcBorders>
            <w:vAlign w:val="center"/>
          </w:tcPr>
          <w:p w14:paraId="6AAEB519">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会计信信息化软件</w:t>
            </w:r>
          </w:p>
        </w:tc>
        <w:tc>
          <w:tcPr>
            <w:tcW w:w="705" w:type="dxa"/>
            <w:tcBorders>
              <w:top w:val="single" w:color="auto" w:sz="4" w:space="0"/>
              <w:left w:val="single" w:color="auto" w:sz="4" w:space="0"/>
              <w:right w:val="single" w:color="auto" w:sz="4" w:space="0"/>
            </w:tcBorders>
            <w:vAlign w:val="center"/>
          </w:tcPr>
          <w:p w14:paraId="66724AAF">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套</w:t>
            </w:r>
          </w:p>
        </w:tc>
        <w:tc>
          <w:tcPr>
            <w:tcW w:w="645" w:type="dxa"/>
            <w:tcBorders>
              <w:top w:val="single" w:color="auto" w:sz="4" w:space="0"/>
              <w:left w:val="single" w:color="auto" w:sz="4" w:space="0"/>
              <w:right w:val="single" w:color="auto" w:sz="4" w:space="0"/>
            </w:tcBorders>
            <w:vAlign w:val="center"/>
          </w:tcPr>
          <w:p w14:paraId="4FCC5765">
            <w:pPr>
              <w:pStyle w:val="178"/>
              <w:jc w:val="center"/>
              <w:rPr>
                <w:rFonts w:ascii="Times New Roman" w:hAnsi="Times New Roman" w:cs="Times New Roman" w:eastAsiaTheme="minorEastAsia"/>
                <w:color w:val="auto"/>
                <w:lang w:eastAsia="en-US"/>
              </w:rPr>
            </w:pPr>
            <w:r>
              <w:rPr>
                <w:rFonts w:hint="eastAsia"/>
                <w:lang w:eastAsia="en-US"/>
              </w:rPr>
              <w:t>1</w:t>
            </w:r>
          </w:p>
        </w:tc>
      </w:tr>
      <w:tr w14:paraId="10E07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6" w:type="dxa"/>
            <w:vMerge w:val="continue"/>
            <w:tcBorders>
              <w:left w:val="single" w:color="auto" w:sz="4" w:space="0"/>
              <w:right w:val="single" w:color="auto" w:sz="4" w:space="0"/>
            </w:tcBorders>
            <w:vAlign w:val="center"/>
          </w:tcPr>
          <w:p w14:paraId="4D3A0C7D">
            <w:pPr>
              <w:pStyle w:val="178"/>
              <w:spacing w:line="360" w:lineRule="exact"/>
              <w:jc w:val="center"/>
              <w:rPr>
                <w:rFonts w:ascii="Times New Roman" w:hAnsi="Times New Roman" w:cs="Times New Roman" w:eastAsiaTheme="minorEastAsia"/>
                <w:color w:val="auto"/>
                <w:lang w:eastAsia="en-US"/>
              </w:rPr>
            </w:pPr>
          </w:p>
        </w:tc>
        <w:tc>
          <w:tcPr>
            <w:tcW w:w="1155" w:type="dxa"/>
            <w:vMerge w:val="continue"/>
            <w:tcBorders>
              <w:left w:val="single" w:color="auto" w:sz="4" w:space="0"/>
              <w:right w:val="single" w:color="auto" w:sz="4" w:space="0"/>
            </w:tcBorders>
            <w:vAlign w:val="center"/>
          </w:tcPr>
          <w:p w14:paraId="75D43478">
            <w:pPr>
              <w:pStyle w:val="178"/>
              <w:spacing w:line="360" w:lineRule="exact"/>
              <w:jc w:val="center"/>
              <w:rPr>
                <w:rFonts w:ascii="Times New Roman" w:hAnsi="Times New Roman" w:cs="Times New Roman" w:eastAsiaTheme="minorEastAsia"/>
                <w:color w:val="auto"/>
                <w:lang w:eastAsia="en-US"/>
              </w:rPr>
            </w:pPr>
          </w:p>
        </w:tc>
        <w:tc>
          <w:tcPr>
            <w:tcW w:w="2265" w:type="dxa"/>
            <w:vMerge w:val="continue"/>
            <w:tcBorders>
              <w:left w:val="single" w:color="auto" w:sz="4" w:space="0"/>
              <w:right w:val="single" w:color="auto" w:sz="4" w:space="0"/>
            </w:tcBorders>
            <w:vAlign w:val="center"/>
          </w:tcPr>
          <w:p w14:paraId="56C7DA0A">
            <w:pPr>
              <w:spacing w:line="360" w:lineRule="exact"/>
              <w:rPr>
                <w:rFonts w:ascii="Times New Roman" w:hAnsi="Times New Roman" w:cs="Times New Roman"/>
                <w:snapToGrid w:val="0"/>
                <w:color w:val="000000"/>
                <w:lang w:eastAsia="en-US"/>
              </w:rPr>
            </w:pPr>
          </w:p>
        </w:tc>
        <w:tc>
          <w:tcPr>
            <w:tcW w:w="705" w:type="dxa"/>
            <w:tcBorders>
              <w:top w:val="single" w:color="auto" w:sz="4" w:space="0"/>
              <w:left w:val="single" w:color="auto" w:sz="4" w:space="0"/>
              <w:bottom w:val="single" w:color="auto" w:sz="4" w:space="0"/>
              <w:right w:val="single" w:color="auto" w:sz="4" w:space="0"/>
            </w:tcBorders>
            <w:vAlign w:val="center"/>
          </w:tcPr>
          <w:p w14:paraId="5D84D658">
            <w:pPr>
              <w:pStyle w:val="178"/>
              <w:jc w:val="center"/>
              <w:rPr>
                <w:rFonts w:ascii="Times New Roman" w:hAnsi="Times New Roman" w:cs="Times New Roman" w:eastAsiaTheme="minorEastAsia"/>
                <w:color w:val="auto"/>
                <w:lang w:eastAsia="en-US"/>
              </w:rPr>
            </w:pPr>
            <w:r>
              <w:rPr>
                <w:rFonts w:hint="eastAsia"/>
                <w:lang w:eastAsia="en-US"/>
              </w:rPr>
              <w:t>2</w:t>
            </w:r>
          </w:p>
        </w:tc>
        <w:tc>
          <w:tcPr>
            <w:tcW w:w="2145" w:type="dxa"/>
            <w:tcBorders>
              <w:top w:val="single" w:color="auto" w:sz="4" w:space="0"/>
              <w:left w:val="single" w:color="auto" w:sz="4" w:space="0"/>
              <w:right w:val="single" w:color="auto" w:sz="4" w:space="0"/>
            </w:tcBorders>
            <w:vAlign w:val="center"/>
          </w:tcPr>
          <w:p w14:paraId="1F17BEEF">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计算机</w:t>
            </w:r>
          </w:p>
        </w:tc>
        <w:tc>
          <w:tcPr>
            <w:tcW w:w="705" w:type="dxa"/>
            <w:tcBorders>
              <w:top w:val="single" w:color="auto" w:sz="4" w:space="0"/>
              <w:left w:val="single" w:color="auto" w:sz="4" w:space="0"/>
              <w:right w:val="single" w:color="auto" w:sz="4" w:space="0"/>
            </w:tcBorders>
            <w:vAlign w:val="center"/>
          </w:tcPr>
          <w:p w14:paraId="09602B90">
            <w:pPr>
              <w:pStyle w:val="178"/>
              <w:jc w:val="center"/>
              <w:rPr>
                <w:rFonts w:ascii="Times New Roman" w:hAnsi="Times New Roman" w:cs="Times New Roman" w:eastAsiaTheme="minorEastAsia"/>
                <w:color w:val="auto"/>
                <w:lang w:eastAsia="en-US"/>
              </w:rPr>
            </w:pPr>
            <w:r>
              <w:rPr>
                <w:rFonts w:hint="eastAsia" w:ascii="宋体" w:hAnsi="宋体" w:eastAsia="宋体" w:cs="宋体"/>
                <w:lang w:eastAsia="en-US"/>
              </w:rPr>
              <w:t>台</w:t>
            </w:r>
          </w:p>
        </w:tc>
        <w:tc>
          <w:tcPr>
            <w:tcW w:w="645" w:type="dxa"/>
            <w:tcBorders>
              <w:top w:val="single" w:color="auto" w:sz="4" w:space="0"/>
              <w:left w:val="single" w:color="auto" w:sz="4" w:space="0"/>
              <w:right w:val="single" w:color="auto" w:sz="4" w:space="0"/>
            </w:tcBorders>
            <w:vAlign w:val="center"/>
          </w:tcPr>
          <w:p w14:paraId="7D887024">
            <w:pPr>
              <w:pStyle w:val="178"/>
              <w:jc w:val="center"/>
              <w:rPr>
                <w:rFonts w:ascii="Times New Roman" w:hAnsi="Times New Roman" w:cs="Times New Roman" w:eastAsiaTheme="minorEastAsia"/>
                <w:color w:val="auto"/>
                <w:lang w:eastAsia="en-US"/>
              </w:rPr>
            </w:pPr>
            <w:r>
              <w:rPr>
                <w:rFonts w:hint="eastAsia"/>
                <w:lang w:eastAsia="en-US"/>
              </w:rPr>
              <w:t>40</w:t>
            </w:r>
          </w:p>
        </w:tc>
      </w:tr>
    </w:tbl>
    <w:p w14:paraId="5EB86315">
      <w:pPr>
        <w:pStyle w:val="40"/>
        <w:ind w:firstLine="0" w:firstLineChars="0"/>
        <w:rPr>
          <w:rFonts w:ascii="Times New Roman" w:hAnsi="Times New Roman"/>
          <w:sz w:val="24"/>
          <w:szCs w:val="24"/>
        </w:rPr>
      </w:pPr>
    </w:p>
    <w:p w14:paraId="7D45AEA9">
      <w:pPr>
        <w:pStyle w:val="40"/>
        <w:ind w:firstLine="0" w:firstLineChars="0"/>
      </w:pPr>
    </w:p>
    <w:p w14:paraId="6874313B">
      <w:pPr>
        <w:pStyle w:val="40"/>
        <w:ind w:firstLine="0" w:firstLineChars="0"/>
      </w:pPr>
    </w:p>
    <w:p w14:paraId="2F03ACE3">
      <w:pPr>
        <w:pStyle w:val="40"/>
        <w:ind w:firstLine="0" w:firstLineChars="0"/>
      </w:pPr>
    </w:p>
    <w:p w14:paraId="3B9CB0E6">
      <w:pPr>
        <w:widowControl/>
        <w:jc w:val="left"/>
        <w:rPr>
          <w:rFonts w:ascii="仿宋_GB2312" w:hAnsi="Times New Roman" w:eastAsia="仿宋_GB2312" w:cs="Times New Roman"/>
          <w:sz w:val="24"/>
          <w:szCs w:val="24"/>
        </w:rPr>
      </w:pPr>
      <w:r>
        <w:rPr>
          <w:rFonts w:ascii="仿宋_GB2312" w:hAnsi="Times New Roman" w:eastAsia="仿宋_GB2312" w:cs="Times New Roman"/>
          <w:sz w:val="24"/>
          <w:szCs w:val="24"/>
        </w:rPr>
        <w:br w:type="page"/>
      </w:r>
    </w:p>
    <w:p w14:paraId="38FBED05">
      <w:pPr>
        <w:spacing w:line="360" w:lineRule="auto"/>
        <w:ind w:firstLine="480" w:firstLineChars="200"/>
        <w:outlineLvl w:val="0"/>
        <w:rPr>
          <w:rFonts w:hint="eastAsia" w:ascii="黑体" w:hAnsi="黑体" w:eastAsia="黑体"/>
          <w:sz w:val="24"/>
          <w:szCs w:val="24"/>
          <w:lang w:val="en-US" w:eastAsia="zh-CN"/>
        </w:rPr>
      </w:pPr>
      <w:bookmarkStart w:id="69" w:name="_Toc24710"/>
      <w:r>
        <w:rPr>
          <w:rFonts w:hint="eastAsia" w:ascii="黑体" w:hAnsi="黑体" w:eastAsia="黑体"/>
          <w:sz w:val="24"/>
          <w:szCs w:val="24"/>
        </w:rPr>
        <w:t>附件：</w:t>
      </w:r>
      <w:r>
        <w:rPr>
          <w:rFonts w:hint="eastAsia" w:ascii="黑体" w:hAnsi="黑体" w:eastAsia="黑体"/>
          <w:sz w:val="24"/>
          <w:szCs w:val="24"/>
          <w:lang w:val="en-US" w:eastAsia="zh-CN"/>
        </w:rPr>
        <w:t>3</w:t>
      </w:r>
      <w:r>
        <w:rPr>
          <w:rFonts w:hint="eastAsia" w:ascii="黑体" w:hAnsi="黑体" w:eastAsia="黑体"/>
          <w:sz w:val="24"/>
          <w:szCs w:val="24"/>
        </w:rPr>
        <w:t>.</w:t>
      </w:r>
      <w:r>
        <w:rPr>
          <w:rFonts w:hint="eastAsia" w:ascii="黑体" w:hAnsi="黑体" w:eastAsia="黑体"/>
          <w:sz w:val="24"/>
          <w:szCs w:val="24"/>
          <w:lang w:val="en-US" w:eastAsia="zh-CN"/>
        </w:rPr>
        <w:t>调研报告</w:t>
      </w:r>
      <w:bookmarkEnd w:id="69"/>
    </w:p>
    <w:p w14:paraId="302D34A7">
      <w:pPr>
        <w:adjustRightInd w:val="0"/>
        <w:snapToGrid w:val="0"/>
        <w:spacing w:line="580" w:lineRule="exact"/>
        <w:jc w:val="center"/>
        <w:rPr>
          <w:rFonts w:ascii="方正小标宋简体" w:hAnsi="方正小标宋_GBK" w:eastAsia="方正小标宋简体" w:cs="方正小标宋_GBK"/>
          <w:kern w:val="0"/>
          <w:sz w:val="36"/>
          <w:szCs w:val="36"/>
        </w:rPr>
      </w:pPr>
      <w:bookmarkStart w:id="70" w:name="_Toc27155"/>
      <w:bookmarkStart w:id="71" w:name="_Toc97789901"/>
      <w:r>
        <w:rPr>
          <w:rFonts w:hint="eastAsia" w:ascii="方正小标宋简体" w:hAnsi="方正小标宋_GBK" w:eastAsia="方正小标宋简体" w:cs="方正小标宋_GBK"/>
          <w:kern w:val="0"/>
          <w:sz w:val="36"/>
          <w:szCs w:val="36"/>
        </w:rPr>
        <w:t>会计事务专业</w:t>
      </w:r>
    </w:p>
    <w:p w14:paraId="77044C58">
      <w:pPr>
        <w:adjustRightInd w:val="0"/>
        <w:snapToGrid w:val="0"/>
        <w:spacing w:line="580" w:lineRule="exact"/>
        <w:jc w:val="center"/>
        <w:rPr>
          <w:rFonts w:ascii="方正小标宋简体" w:hAnsi="方正小标宋_GBK" w:eastAsia="方正小标宋简体" w:cs="方正小标宋_GBK"/>
          <w:kern w:val="0"/>
          <w:sz w:val="36"/>
          <w:szCs w:val="36"/>
        </w:rPr>
      </w:pPr>
      <w:r>
        <w:rPr>
          <w:rFonts w:hint="eastAsia" w:ascii="方正小标宋简体" w:hAnsi="方正小标宋_GBK" w:eastAsia="方正小标宋简体" w:cs="方正小标宋_GBK"/>
          <w:kern w:val="0"/>
          <w:sz w:val="36"/>
          <w:szCs w:val="36"/>
        </w:rPr>
        <w:t>人才培养模式和课程体系改革调研报告</w:t>
      </w:r>
    </w:p>
    <w:p w14:paraId="39FC6DBE">
      <w:pPr>
        <w:adjustRightInd w:val="0"/>
        <w:snapToGrid w:val="0"/>
        <w:spacing w:line="400" w:lineRule="exact"/>
        <w:rPr>
          <w:rFonts w:ascii="黑体" w:hAnsi="黑体" w:eastAsia="黑体"/>
          <w:sz w:val="24"/>
          <w:szCs w:val="24"/>
        </w:rPr>
      </w:pPr>
    </w:p>
    <w:p w14:paraId="252E78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8"/>
        </w:rPr>
      </w:pPr>
      <w:bookmarkStart w:id="72" w:name="_Toc17646"/>
      <w:bookmarkStart w:id="73" w:name="_Toc23457"/>
      <w:r>
        <w:rPr>
          <w:rFonts w:hint="eastAsia" w:ascii="黑体" w:hAnsi="黑体" w:eastAsia="黑体" w:cs="黑体"/>
          <w:sz w:val="24"/>
          <w:szCs w:val="28"/>
        </w:rPr>
        <w:t>一、背景分析</w:t>
      </w:r>
      <w:bookmarkEnd w:id="72"/>
      <w:bookmarkEnd w:id="73"/>
    </w:p>
    <w:p w14:paraId="6093A8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bookmarkStart w:id="74" w:name="_Toc20301"/>
      <w:bookmarkStart w:id="75" w:name="_Toc12662"/>
      <w:r>
        <w:rPr>
          <w:rFonts w:hint="eastAsia" w:ascii="仿宋_GB2312" w:hAnsi="仿宋_GB2312" w:eastAsia="仿宋_GB2312" w:cs="仿宋_GB2312"/>
          <w:sz w:val="24"/>
          <w:szCs w:val="28"/>
        </w:rPr>
        <w:t>随着市场经济体制的完善、科技进步和产业结构调整及劳动力市场的变化，在《国家中长期人才发展规划纲要》《国家中长期教育发展规划纲要》以及国家职业教育改革发展相关政策的指引下，政策环境、制度环境和社会环境不断改善，我国职业教育吸引力显著增强，中等职业教育改革发展取得历史性成就。国家实施了中等职业教育免学费政策，以全国中等职业教育改革发展示范学校建设，以及2019年国务院颁布《国家职业教育改革实施方案》为标志，高等职业教育考试招生改革进入全面构建“职教高考”制度的新时期。职教高考制度是我国高等职业学校招收新生的制度，由一系列符合高等职业教育人才选拔需要的考试招生制度组成。中等职业教育在经济社会发展大局和教育工作全局中的重要地位更加凸显，中等职业教育改革发展迎来了前所未有的重大机遇。中等职业教育围绕国家经济社会发展需求，在服务中深化改革、在贡献中加快发展。</w:t>
      </w:r>
      <w:bookmarkEnd w:id="74"/>
      <w:bookmarkEnd w:id="75"/>
    </w:p>
    <w:p w14:paraId="1186DF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但面临的挑战依然十分严峻，中等职业教育仍是教育工作的薄弱环节，整体水平离实现全面建成小康社会目标、满足人民群众多样化学习需求还有很大差距，质量、规模、结构、效益还不能很好地适应现代化建设的需要。教师队伍结构不合理，特别是“双师型”教师数量短缺，整体素质亟待提升；教育与产业、学校与企业、专业设置与职业岗位对接不够紧密，人才培养的市场针对性不强；职业学校毕业生继续学习通道不畅等。职业教育要面向人人、面向社会，着力培养学生的职业道德、职业技能和就业创业能力。因此，要从解决突出问题入手，以改革创新为强大动力，突出重点、整体规划，形成适应经济发展方式转变和产业结构调整要求、体现终身教育理念、中等和高等职业教育协调发展的现代职业教育体系，满足人民群众对接受职业教育的需求，满足经济社会对高素质劳动者和技能型人才的需要。</w:t>
      </w:r>
    </w:p>
    <w:p w14:paraId="49BDCB3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本次调研是了解我国经济社会及产业结构发展现状及未来发展趋势，了解会计事务专业的设置及人才培养情况，明确山东省经济建设与社会发展对财税业人才的需求状况，为推行理论实践一体化、教学做一体化的教学模式，建立以能力为本位、实践为主线、项目为主体的新型课程体系奠定基础。通过从企业行业调研、院校调研、毕业生调研以及在校生调研等四个方面展开，进一步增强中等职业教育教学改革的针对性，统一思想认识，为人才培养方案的修订工作提供基础资料和依据。</w:t>
      </w:r>
    </w:p>
    <w:p w14:paraId="5E9C567A">
      <w:pPr>
        <w:adjustRightInd w:val="0"/>
        <w:snapToGrid w:val="0"/>
        <w:spacing w:line="400" w:lineRule="exact"/>
        <w:ind w:firstLine="480" w:firstLineChars="200"/>
        <w:outlineLvl w:val="0"/>
        <w:rPr>
          <w:rFonts w:ascii="黑体" w:hAnsi="黑体" w:eastAsia="黑体" w:cs="黑体"/>
          <w:kern w:val="0"/>
          <w:sz w:val="24"/>
          <w:szCs w:val="24"/>
        </w:rPr>
      </w:pPr>
      <w:bookmarkStart w:id="76" w:name="_Toc15004"/>
      <w:bookmarkStart w:id="77" w:name="_Toc2067"/>
      <w:bookmarkStart w:id="78" w:name="_Toc11126"/>
      <w:bookmarkStart w:id="79" w:name="_Toc27370"/>
      <w:bookmarkStart w:id="80" w:name="_Toc31060"/>
      <w:r>
        <w:rPr>
          <w:rFonts w:hint="eastAsia" w:ascii="黑体" w:hAnsi="黑体" w:eastAsia="黑体" w:cs="黑体"/>
          <w:kern w:val="0"/>
          <w:sz w:val="24"/>
          <w:szCs w:val="24"/>
        </w:rPr>
        <w:t>二、调研内容</w:t>
      </w:r>
      <w:bookmarkEnd w:id="76"/>
      <w:bookmarkEnd w:id="77"/>
      <w:bookmarkEnd w:id="78"/>
      <w:bookmarkEnd w:id="79"/>
      <w:bookmarkEnd w:id="80"/>
    </w:p>
    <w:p w14:paraId="32F5BEE1">
      <w:pPr>
        <w:adjustRightInd w:val="0"/>
        <w:snapToGrid w:val="0"/>
        <w:spacing w:line="400" w:lineRule="exact"/>
        <w:ind w:firstLine="480" w:firstLineChars="200"/>
        <w:outlineLvl w:val="1"/>
        <w:rPr>
          <w:rFonts w:ascii="楷体" w:hAnsi="楷体" w:eastAsia="楷体" w:cs="仿宋"/>
          <w:kern w:val="0"/>
          <w:sz w:val="24"/>
          <w:szCs w:val="24"/>
        </w:rPr>
      </w:pPr>
      <w:bookmarkStart w:id="81" w:name="_Toc4010"/>
      <w:bookmarkStart w:id="82" w:name="_Toc163"/>
      <w:bookmarkStart w:id="83" w:name="_Toc8862"/>
      <w:bookmarkStart w:id="84" w:name="_Toc15918"/>
      <w:bookmarkStart w:id="85" w:name="_Toc15084"/>
      <w:r>
        <w:rPr>
          <w:rFonts w:hint="eastAsia" w:ascii="楷体" w:hAnsi="楷体" w:eastAsia="楷体" w:cs="仿宋"/>
          <w:kern w:val="0"/>
          <w:sz w:val="24"/>
          <w:szCs w:val="24"/>
        </w:rPr>
        <w:t>（一）</w:t>
      </w:r>
      <w:r>
        <w:rPr>
          <w:rFonts w:ascii="楷体" w:hAnsi="楷体" w:eastAsia="楷体" w:cs="仿宋"/>
          <w:kern w:val="0"/>
          <w:sz w:val="24"/>
          <w:szCs w:val="24"/>
        </w:rPr>
        <w:t>调研方法</w:t>
      </w:r>
      <w:bookmarkEnd w:id="81"/>
      <w:bookmarkEnd w:id="82"/>
      <w:bookmarkEnd w:id="83"/>
      <w:bookmarkEnd w:id="84"/>
      <w:bookmarkEnd w:id="85"/>
    </w:p>
    <w:p w14:paraId="5F89ACD2">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调研人员采用集中和分散相结合的方法，对设有职教高考会计事务专业的安丘职业中专、民族职业中专、昌乐宝石中专、潍坊市工业学校、寿光职教中心、诸城超然综合高级中学、东营市广饶职业中专、垦利职业中专、利津职业中专、</w:t>
      </w:r>
    </w:p>
    <w:p w14:paraId="70821E77">
      <w:pPr>
        <w:spacing w:line="40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烟台南山学院等10所中职学校，针对会计事务专业人才培养模式和课程体系改革的调研活动，分别利用了举办座谈会、现场走访座谈、问卷调查、网络调研等方法，进行了扎实有效、切合实际的调研，了解学生的学习、升学和就业情况，了解学习各校教学经验。</w:t>
      </w:r>
    </w:p>
    <w:p w14:paraId="4C0F219B">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1.举办座谈会。组织行业专家、高校知名专家、中高职学校会计事务专业负责人和骨干教师集中座谈交流，广泛听取各方意见，深入了解行业发展现状及趋势、相关政策支持、各类学校会计事务专业的开展等情况。</w:t>
      </w:r>
    </w:p>
    <w:p w14:paraId="5AAF2A8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2.现场走访座谈</w:t>
      </w:r>
    </w:p>
    <w:p w14:paraId="341C9F2C">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走访调研的主要企业包括潍坊银座、潍坊中百集团、世纪泰华集团、潍坊乾晟会计师事务所、北京永拓会计师事务所潍坊分所、潍坊佳乐家等10家单位等，充分了解行业企业对专业人才的需求，不同院校开设专业级教学的形式。</w:t>
      </w:r>
    </w:p>
    <w:p w14:paraId="0C12AF70">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3.问卷调查</w:t>
      </w:r>
    </w:p>
    <w:p w14:paraId="1E26525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我们设计了面向企业人力资源部门负责人、行业企业专家、会计专业从业人员、同类的高职院校、中职学校、财税专业毕业生等的各类调查问卷，全方位多层次地掌握对于会计事务专业人才的需求及培养情况。</w:t>
      </w:r>
    </w:p>
    <w:p w14:paraId="026A5FB1">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4.网络调研</w:t>
      </w:r>
    </w:p>
    <w:p w14:paraId="693BD2CB">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为了更好地了解会计事务专业对于从业人员的专业需求，我们通过网络广泛搜集会计相关的各类招聘信息，了解财税行业职业岗位的任职要求，对搜集的信息进行归纳分析，更加明确职教高考会计事务专业人才培养的定位和方向。</w:t>
      </w:r>
    </w:p>
    <w:p w14:paraId="0A20B1F2">
      <w:pPr>
        <w:adjustRightInd w:val="0"/>
        <w:snapToGrid w:val="0"/>
        <w:spacing w:line="400" w:lineRule="exact"/>
        <w:ind w:firstLine="480" w:firstLineChars="200"/>
        <w:outlineLvl w:val="1"/>
        <w:rPr>
          <w:rFonts w:ascii="楷体" w:hAnsi="楷体" w:eastAsia="楷体" w:cs="仿宋"/>
          <w:kern w:val="0"/>
          <w:sz w:val="24"/>
          <w:szCs w:val="24"/>
        </w:rPr>
      </w:pPr>
      <w:bookmarkStart w:id="86" w:name="_Toc25055"/>
      <w:bookmarkStart w:id="87" w:name="_Toc12922"/>
      <w:bookmarkStart w:id="88" w:name="_Toc19904"/>
      <w:bookmarkStart w:id="89" w:name="_Toc12852"/>
      <w:bookmarkStart w:id="90" w:name="_Toc28297"/>
      <w:r>
        <w:rPr>
          <w:rFonts w:hint="eastAsia" w:ascii="楷体" w:hAnsi="楷体" w:eastAsia="楷体" w:cs="仿宋"/>
          <w:kern w:val="0"/>
          <w:sz w:val="24"/>
          <w:szCs w:val="24"/>
        </w:rPr>
        <w:t>（二）调研主要内容</w:t>
      </w:r>
      <w:bookmarkEnd w:id="86"/>
      <w:bookmarkEnd w:id="87"/>
      <w:bookmarkEnd w:id="88"/>
      <w:bookmarkEnd w:id="89"/>
      <w:bookmarkEnd w:id="90"/>
    </w:p>
    <w:p w14:paraId="18FBFC7D">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依据《山东省教育厅关于做好中等职业学校专业人才培养方案编写工作的通知》要求，我们确定本次调研的任务和内容是明确会计行业的国家政策、行业企业的规范要求、职业标准等；明确经济领域适合中职会计事务专业毕业生的职业岗位群；了解岗位对学生的职业素质和能力要求，包括职业道德和行为态度、文化素质和专业知识、职业技能以及身心健康等方面的要求；明确与会计事务专业培养方向有关的职业资格证书、技能等级证书；了解国家职业资格证书对职业知识与技能的要求及行业、企业对这些证书的认可度；了解近三至五年会计事务专业毕业生就业的工作岗位状况；了解相关职业学校和培训机构该专业课程建设情况，提出课程改革建议。</w:t>
      </w:r>
    </w:p>
    <w:p w14:paraId="5FBB3DC7">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为修订会计事务专业（职教高考）专业人才培养方案，工作组分别对行业企业、院校、毕业生、在校生进行调研。行业企业调研主要是市场经济体制的完善、科技进步和产业结构调整及劳动力市场的变化对会计事务专业人才培养的需求情况，对会计事务专业的人才培养目标、就业岗位、职业能力要求、课程设置、实践教学等进行了全面解析。学校调研主要面向省内开设职教高考会计事务专业的中职院校开展。包括示范院校、骨干院校、财经类院校以及开设会计事务专业的一般院校。毕业生调研主要面向开设有会计事务专业的中职院校的</w:t>
      </w:r>
      <w:r>
        <w:rPr>
          <w:rFonts w:hint="eastAsia" w:ascii="仿宋_GB2312" w:hAnsi="仿宋_GB2312" w:eastAsia="仿宋_GB2312" w:cs="仿宋_GB2312"/>
          <w:sz w:val="24"/>
          <w:szCs w:val="24"/>
          <w:lang w:val="en-US" w:eastAsia="zh-CN"/>
        </w:rPr>
        <w:t>2014届、</w:t>
      </w:r>
      <w:r>
        <w:rPr>
          <w:rFonts w:hint="eastAsia" w:ascii="仿宋_GB2312" w:hAnsi="仿宋_GB2312" w:eastAsia="仿宋_GB2312" w:cs="仿宋_GB2312"/>
          <w:sz w:val="24"/>
          <w:szCs w:val="24"/>
        </w:rPr>
        <w:t>2015届、2016届、2017届、2018届毕业生，主要通过问卷及座谈会方式进行调研，侧重于工作状况、就业质量、课程设置、教学方式、人才培养等。</w:t>
      </w:r>
    </w:p>
    <w:p w14:paraId="77515C61">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1.职业岗位及行业规范</w:t>
      </w:r>
    </w:p>
    <w:p w14:paraId="0A18BC8C">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调研中发现，大多数企业认为学生专业知识运用能力、人际关系协调能力等综合素质有待提高，同时应增强团队协作精神和吃苦耐劳精神；学生独立处理账务的能力尚不够，必须加强学习，要多问多钻研；学生在校期间所学知识不能做到学以致用、融会贯通，稍有变化就不知所措，即应变能力、创新能力亟待提高。</w:t>
      </w:r>
    </w:p>
    <w:p w14:paraId="59AB1F1C">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企业都要求会计事务专业学生能有较高的职业道德修养，在学校教育教学中，必须认识到加强对学生职业道德教育的重要性，以各种方式和适量课时进行全方位职业道德教育，加强对学生生存竞争意识的培养，提高学生的全面综合素质，特别是心理素质和适应能力，增强学生的社会竞争力，使学生真正能够爱岗敬业，成为合格的会计人才。</w:t>
      </w:r>
    </w:p>
    <w:p w14:paraId="7234152C">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2.职业资格情况</w:t>
      </w:r>
    </w:p>
    <w:p w14:paraId="44CBFF92">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（1）通用素质证书。计算机操作员、普通话等证书。</w:t>
      </w:r>
    </w:p>
    <w:p w14:paraId="577CD1E0">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2）专业资格证书。目前，我国国内的会计资质考试可以按照难易水平和参加人员的素质大体分为三个级别。一是财税职业技能证书（行业认定）考试；二是会计专业技术职务资格考试；三是注册会计师、注册税务师、注册资产评估师等执业资格证书考试。</w:t>
      </w:r>
    </w:p>
    <w:p w14:paraId="49DF23A8">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会计专业技术资格证书。会计专业技术资格和注册会计师资格等是对财会从业人员的更高要求，是中职学生工作后努力的方向，这些资格的获取均须参加全国的统一考试。根据国家相关规定，中职学生毕业时只能考取会计专业技术初级资格，要想获取更高一级资格，要么需要继续提高学历，要么从事会计工作年限要达到要求。有关资格各科目考试大纲、考试合格标准均由财政部统一制定，其同时也就明确了对各层次会计人员的技术规范要求。因此，会计事务专业课程体系及课程内容设计必须充分考虑财政部有关会计专业技术资格考试方面的相关要求。</w:t>
      </w:r>
    </w:p>
    <w:p w14:paraId="1417678E">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3.职业岗位能力要求</w:t>
      </w:r>
    </w:p>
    <w:p w14:paraId="152325DC">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职业岗位对学生的职业素质和能力要求，包括：职业道德和行为态度、文化素质和专业知识、职业技能和职业能力以及身心健康等方面的要求，做出多个工作岗位描述及岗位职业能力分析。</w:t>
      </w:r>
    </w:p>
    <w:p w14:paraId="777CBC6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4.课程设置支撑职业能力情况</w:t>
      </w:r>
    </w:p>
    <w:p w14:paraId="19C821A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职教高考会计事务专业开设的会计基础、企业财务会计、经济法基础、金融认知、涉税业务办理、纳税实务6门核心课程，主要测试考生理解和掌握有关基本理论、基础知识和基本方法的程度，以及综合运用这些理论、知识、方法解决实际问题的能力。职教高考会计事务专业技能考试说明包括财税类专业中的8个技能考试项目，包括会计软件的初始化、账务处理、报表管理、工资核算、固定资产核算、购销存业务处理和纳税申报八个模块内容。主要测试考生完成企业会计实务工作的能力，检验考生的会计基本技能和会计业务核算、企业涉税业务办理、会计信息化管理等核心技能，以及会计职业规范和职业道德修养。</w:t>
      </w:r>
    </w:p>
    <w:p w14:paraId="31755A1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（1）中等职业学校会计专业的发展各校还不平衡，无论是师资队伍、实验实训设施和实习基地建设都需要不断加强；</w:t>
      </w:r>
    </w:p>
    <w:p w14:paraId="144F025B">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（2）专业课程体系构建要打破理论课、实验课和实训课的界限，做到理实一体，师生双方做、学、教一体；</w:t>
      </w:r>
    </w:p>
    <w:p w14:paraId="6462F5D5">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（3）课程设计要符合会计专业就业岗位群的现实需要，适应就业去向的变化而不断优化，加强职业道德教育，突出动手能力和专业技能的培养；</w:t>
      </w:r>
    </w:p>
    <w:p w14:paraId="77E8CF67">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（4）学生毕业有直接就业和升学深造两个方向。对于准备继续升学深造的同学，可以在第五学期进行分流，其课程围绕强化高职入学考试内容要求进行设置；</w:t>
      </w:r>
    </w:p>
    <w:p w14:paraId="66984925">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由于直接就业会计岗位主要是小企业，因企业规模和业务量所决定，这些单位所需会计人员不多，工作基本没有明细岗位分工，所要求的却是一位“全能会计”，同时由于会计复式记账、会计科目方面不同业务互相密切关联的特点，按会计具体要素内容构建会计实务学习任务项目更为有效，既避免学习内容的不断重复，又便于理实一体教学实施。</w:t>
      </w:r>
    </w:p>
    <w:p w14:paraId="256CD5B8">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5.相关学校课程设置情况</w:t>
      </w:r>
    </w:p>
    <w:p w14:paraId="7C500DA5">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山东省内共有高职院校160所，具有职教高考财税专业的招生计划。通过调研，不仅了解了专业开设的学院，还主要调查了相关课程开设情况。</w:t>
      </w:r>
    </w:p>
    <w:p w14:paraId="2E0AD0BE">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（1）山东省会计专业所属院系调研分析</w:t>
      </w:r>
    </w:p>
    <w:p w14:paraId="57FFDD74">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会计专业是一门涉及会计学、管理学、经济学基础学科的综合性应用技术专业，绝大多数院校把会计专业（大数据会计）放在经贸管理类院系中。</w:t>
      </w:r>
    </w:p>
    <w:p w14:paraId="69549088">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（2）核心（主干）课程调研分析</w:t>
      </w:r>
    </w:p>
    <w:p w14:paraId="2CCD8FD3">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通过回收的调研问卷调查显示，职教高考会计事务专业的主要课程有会计基础、企业财务会计、经济法基础、税收基础、纳税实务、会计信息化及金融认知等。</w:t>
      </w:r>
    </w:p>
    <w:p w14:paraId="687A5BCE">
      <w:pPr>
        <w:spacing w:line="400" w:lineRule="exact"/>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6.本专业毕业生就业情况</w:t>
      </w:r>
    </w:p>
    <w:p w14:paraId="3A69621D">
      <w:pPr>
        <w:spacing w:line="40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在对</w:t>
      </w:r>
      <w:r>
        <w:rPr>
          <w:rFonts w:hint="eastAsia" w:ascii="仿宋_GB2312" w:hAnsi="仿宋_GB2312" w:eastAsia="仿宋_GB2312" w:cs="仿宋_GB2312"/>
          <w:sz w:val="24"/>
          <w:szCs w:val="24"/>
          <w:lang w:val="en-US" w:eastAsia="zh-CN"/>
        </w:rPr>
        <w:t>2014、</w:t>
      </w:r>
      <w:r>
        <w:rPr>
          <w:rFonts w:hint="eastAsia" w:ascii="仿宋_GB2312" w:hAnsi="仿宋_GB2312" w:eastAsia="仿宋_GB2312" w:cs="仿宋_GB2312"/>
          <w:sz w:val="24"/>
          <w:szCs w:val="24"/>
        </w:rPr>
        <w:t>2015、2016、2017、2018届共</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00名毕业生的调查中，受雇全职工作的比例分别为96.69%，大部分毕业生都处于工作状态。88.71%的毕业生还在毕业院校所在的省工作，毕业到现在换工作的频率调研中，毕业到现在还没有换过工作的占43.47%，33.71%选择换过1次，16.85%选择换过2次，换过3次以上的有6.21%。这说明大部分选择喜欢在自己熟悉的地方工作，并且税务类工作具有稳定性，总体而言，换工作的次数相对较少。</w:t>
      </w:r>
    </w:p>
    <w:p w14:paraId="3637BEAE">
      <w:pPr>
        <w:spacing w:line="400" w:lineRule="exact"/>
        <w:ind w:firstLine="480"/>
        <w:rPr>
          <w:rFonts w:hint="eastAsia" w:ascii="仿宋_GB2312" w:hAnsi="仿宋_GB2312" w:eastAsia="仿宋_GB2312" w:cs="仿宋_GB2312"/>
          <w:sz w:val="24"/>
          <w:szCs w:val="24"/>
        </w:rPr>
      </w:pPr>
    </w:p>
    <w:p w14:paraId="14A35723">
      <w:pPr>
        <w:spacing w:line="400" w:lineRule="exact"/>
        <w:ind w:firstLine="480"/>
        <w:rPr>
          <w:rFonts w:hint="eastAsia" w:ascii="仿宋_GB2312" w:hAnsi="仿宋_GB2312" w:eastAsia="仿宋_GB2312" w:cs="仿宋_GB2312"/>
          <w:sz w:val="24"/>
          <w:szCs w:val="24"/>
        </w:rPr>
      </w:pPr>
      <w:r>
        <w:drawing>
          <wp:anchor distT="0" distB="0" distL="0" distR="0" simplePos="0" relativeHeight="251663360" behindDoc="0" locked="0" layoutInCell="1" allowOverlap="1">
            <wp:simplePos x="0" y="0"/>
            <wp:positionH relativeFrom="column">
              <wp:posOffset>10160</wp:posOffset>
            </wp:positionH>
            <wp:positionV relativeFrom="paragraph">
              <wp:posOffset>49530</wp:posOffset>
            </wp:positionV>
            <wp:extent cx="5111750" cy="1555750"/>
            <wp:effectExtent l="0" t="0" r="6350" b="635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a:lum bright="6000"/>
                    </a:blip>
                    <a:stretch>
                      <a:fillRect/>
                    </a:stretch>
                  </pic:blipFill>
                  <pic:spPr>
                    <a:xfrm>
                      <a:off x="0" y="0"/>
                      <a:ext cx="5111750" cy="1555750"/>
                    </a:xfrm>
                    <a:prstGeom prst="rect">
                      <a:avLst/>
                    </a:prstGeom>
                    <a:ln>
                      <a:noFill/>
                    </a:ln>
                  </pic:spPr>
                </pic:pic>
              </a:graphicData>
            </a:graphic>
          </wp:anchor>
        </w:drawing>
      </w:r>
    </w:p>
    <w:p w14:paraId="66DB34B9">
      <w:pPr>
        <w:spacing w:line="400" w:lineRule="exact"/>
        <w:ind w:firstLine="480"/>
        <w:rPr>
          <w:rFonts w:hint="eastAsia" w:ascii="仿宋_GB2312" w:hAnsi="仿宋_GB2312" w:eastAsia="仿宋_GB2312" w:cs="仿宋_GB2312"/>
          <w:sz w:val="24"/>
          <w:szCs w:val="24"/>
        </w:rPr>
      </w:pPr>
    </w:p>
    <w:p w14:paraId="11659066">
      <w:pPr>
        <w:spacing w:line="400" w:lineRule="exact"/>
        <w:ind w:firstLine="480"/>
        <w:rPr>
          <w:rFonts w:hint="eastAsia" w:ascii="仿宋_GB2312" w:hAnsi="仿宋_GB2312" w:eastAsia="仿宋_GB2312" w:cs="仿宋_GB2312"/>
          <w:sz w:val="24"/>
          <w:szCs w:val="24"/>
        </w:rPr>
      </w:pPr>
    </w:p>
    <w:p w14:paraId="383E4699">
      <w:pPr>
        <w:spacing w:line="400" w:lineRule="exact"/>
        <w:ind w:firstLine="480"/>
        <w:rPr>
          <w:rFonts w:hint="eastAsia" w:ascii="仿宋_GB2312" w:hAnsi="仿宋_GB2312" w:eastAsia="仿宋_GB2312" w:cs="仿宋_GB2312"/>
          <w:sz w:val="24"/>
          <w:szCs w:val="24"/>
        </w:rPr>
      </w:pPr>
    </w:p>
    <w:p w14:paraId="028F736E">
      <w:pPr>
        <w:spacing w:line="400" w:lineRule="exact"/>
        <w:ind w:firstLine="480"/>
        <w:rPr>
          <w:rFonts w:hint="eastAsia" w:ascii="仿宋_GB2312" w:hAnsi="仿宋_GB2312" w:eastAsia="仿宋_GB2312" w:cs="仿宋_GB2312"/>
          <w:sz w:val="24"/>
          <w:szCs w:val="24"/>
        </w:rPr>
      </w:pPr>
    </w:p>
    <w:p w14:paraId="42D8B428">
      <w:pPr>
        <w:spacing w:line="400" w:lineRule="exact"/>
        <w:rPr>
          <w:rFonts w:hint="eastAsia" w:ascii="仿宋_GB2312" w:hAnsi="仿宋_GB2312" w:eastAsia="仿宋_GB2312" w:cs="仿宋_GB2312"/>
          <w:sz w:val="24"/>
          <w:szCs w:val="24"/>
        </w:rPr>
      </w:pPr>
    </w:p>
    <w:p w14:paraId="4C31F51B">
      <w:pPr>
        <w:spacing w:line="400" w:lineRule="exact"/>
        <w:ind w:firstLine="480"/>
        <w:jc w:val="center"/>
        <w:rPr>
          <w:rFonts w:hint="eastAsia" w:ascii="仿宋_GB2312" w:hAnsi="仿宋_GB2312" w:eastAsia="仿宋_GB2312" w:cs="仿宋_GB2312"/>
          <w:sz w:val="22"/>
          <w:szCs w:val="22"/>
        </w:rPr>
      </w:pPr>
    </w:p>
    <w:p w14:paraId="6A88D819">
      <w:pPr>
        <w:spacing w:line="400" w:lineRule="exact"/>
        <w:ind w:firstLine="480"/>
        <w:jc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职教高考会计专业毕业生就业情况</w:t>
      </w:r>
    </w:p>
    <w:p w14:paraId="6EF96999">
      <w:pPr>
        <w:spacing w:line="400" w:lineRule="exact"/>
        <w:ind w:firstLine="480"/>
        <w:rPr>
          <w:rFonts w:hint="eastAsia" w:ascii="仿宋_GB2312" w:hAnsi="仿宋_GB2312" w:eastAsia="仿宋_GB2312" w:cs="仿宋_GB2312"/>
          <w:sz w:val="24"/>
          <w:szCs w:val="24"/>
        </w:rPr>
      </w:pPr>
    </w:p>
    <w:p w14:paraId="4E3DA5A5">
      <w:pPr>
        <w:numPr>
          <w:ilvl w:val="0"/>
          <w:numId w:val="1"/>
        </w:numPr>
        <w:adjustRightInd w:val="0"/>
        <w:snapToGrid w:val="0"/>
        <w:spacing w:line="400" w:lineRule="exact"/>
        <w:ind w:firstLine="480" w:firstLineChars="200"/>
        <w:outlineLvl w:val="0"/>
      </w:pPr>
      <w:bookmarkStart w:id="91" w:name="_Toc6820"/>
      <w:bookmarkStart w:id="92" w:name="_Toc1402"/>
      <w:bookmarkStart w:id="93" w:name="_Toc31069"/>
      <w:bookmarkStart w:id="94" w:name="_Toc5422"/>
      <w:bookmarkStart w:id="95" w:name="_Toc25218"/>
      <w:r>
        <w:rPr>
          <w:rFonts w:hint="eastAsia" w:ascii="黑体" w:hAnsi="黑体" w:eastAsia="黑体" w:cs="黑体"/>
          <w:kern w:val="0"/>
          <w:sz w:val="24"/>
          <w:szCs w:val="24"/>
        </w:rPr>
        <w:t>调研结果分析</w:t>
      </w:r>
      <w:bookmarkEnd w:id="91"/>
      <w:bookmarkEnd w:id="92"/>
      <w:bookmarkEnd w:id="93"/>
      <w:bookmarkEnd w:id="94"/>
      <w:bookmarkEnd w:id="95"/>
    </w:p>
    <w:p w14:paraId="61E29B7E">
      <w:pPr>
        <w:pStyle w:val="4"/>
        <w:numPr>
          <w:ilvl w:val="0"/>
          <w:numId w:val="2"/>
        </w:numPr>
        <w:spacing w:before="0" w:after="0" w:line="400" w:lineRule="exact"/>
        <w:ind w:firstLine="480" w:firstLineChars="200"/>
        <w:rPr>
          <w:rFonts w:ascii="楷体" w:hAnsi="楷体" w:eastAsia="楷体" w:cs="楷体"/>
          <w:sz w:val="24"/>
          <w:szCs w:val="24"/>
        </w:rPr>
      </w:pPr>
      <w:bookmarkStart w:id="96" w:name="_Toc19841"/>
      <w:bookmarkStart w:id="97" w:name="_Toc26114"/>
      <w:bookmarkStart w:id="98" w:name="_Toc22634"/>
      <w:bookmarkStart w:id="99" w:name="_Toc10446"/>
      <w:bookmarkStart w:id="100" w:name="_Toc32570"/>
      <w:bookmarkStart w:id="101" w:name="_Toc4788"/>
      <w:bookmarkStart w:id="102" w:name="_Toc97789906"/>
      <w:r>
        <w:rPr>
          <w:rFonts w:hint="eastAsia" w:ascii="楷体" w:hAnsi="楷体" w:eastAsia="楷体" w:cs="楷体"/>
          <w:sz w:val="24"/>
          <w:szCs w:val="24"/>
        </w:rPr>
        <w:t>行业人才需求情况</w:t>
      </w:r>
      <w:bookmarkEnd w:id="96"/>
      <w:bookmarkEnd w:id="97"/>
      <w:bookmarkEnd w:id="98"/>
      <w:bookmarkEnd w:id="99"/>
      <w:bookmarkEnd w:id="100"/>
      <w:r>
        <w:rPr>
          <w:rFonts w:hint="eastAsia" w:ascii="楷体" w:hAnsi="楷体" w:eastAsia="楷体" w:cs="楷体"/>
          <w:sz w:val="24"/>
          <w:szCs w:val="24"/>
        </w:rPr>
        <w:t xml:space="preserve"> </w:t>
      </w:r>
    </w:p>
    <w:p w14:paraId="1D28FD3C">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1.职业岗位分析。</w:t>
      </w:r>
    </w:p>
    <w:bookmarkEnd w:id="101"/>
    <w:bookmarkEnd w:id="102"/>
    <w:p w14:paraId="2C692248">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一线生产、制造、维修、销售等岗位工作人员占80%,经营管理人员占20%左右，毕业生经过实习后，初次就业大都仍留在生产一线，少数人经过企业培训走上初级管理岗位。</w:t>
      </w:r>
    </w:p>
    <w:p w14:paraId="1593D730">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通过对财税行业发展现状的调研分析，以及对2021年度中国会计人才状况调研分析，可以归纳总结我国超60%的生产、制造等民营企业、个体企业存在人才需求缺口，其中，30%的企业将有大规模招聘需求。在财会行业急需人才方向上，排名在前的是财务管理方向人才需求增长迅速（达35%），、智能财税方向的人才，达40%，其次，财税行业人才缺口也较大，同时，智能财税、大数据会计等技术人才需求仍然旺盛。随着数字时代到来，数据在经济中的重要性凸显，专业数据分析与应用人才的需求量越来越大。</w:t>
      </w:r>
    </w:p>
    <w:p w14:paraId="2B76E96E">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2.从业人员学历情况分析。</w:t>
      </w:r>
    </w:p>
    <w:p w14:paraId="696CAA02">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高职和中职学历的工作人员最多，大学及以上学历的从业人员不断增加，初中及以下学历的从业人员逐渐减少，民营企业、个体企业在社会招聘时不再招收中专及以下学历的人员。并且其一线从业人员学历层次高于其他行业一线生产人员。</w:t>
      </w:r>
    </w:p>
    <w:p w14:paraId="5207579B">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3.专业技术职业资格情况。</w:t>
      </w:r>
    </w:p>
    <w:p w14:paraId="713B99F5">
      <w:pPr>
        <w:spacing w:line="400" w:lineRule="exact"/>
        <w:ind w:firstLine="480" w:firstLineChars="200"/>
        <w:rPr>
          <w:rFonts w:hint="eastAsia" w:ascii="仿宋_GB2312" w:hAnsi="仿宋_GB2312" w:eastAsia="仿宋_GB2312" w:cs="仿宋_GB2312"/>
          <w:sz w:val="24"/>
          <w:szCs w:val="24"/>
          <w:lang w:val="en-US" w:eastAsia="zh-CN" w:bidi="ar"/>
        </w:rPr>
      </w:pPr>
      <w:r>
        <w:rPr>
          <w:rFonts w:hint="eastAsia" w:ascii="仿宋_GB2312" w:hAnsi="仿宋_GB2312" w:eastAsia="仿宋_GB2312" w:cs="仿宋_GB2312"/>
          <w:sz w:val="24"/>
          <w:szCs w:val="24"/>
          <w:lang w:val="en-US" w:eastAsia="zh-CN" w:bidi="ar"/>
        </w:rPr>
        <w:t>从会计人才发展的总体情况来看，截至2020年底，中国已经有相当规模的人群取得了不同级别的会计专业技术资格。例如，有670.20万人取得了初级会计专业技术资格，242.02万人取得了中级会计专业技术资格，还有20.57万人通过了高级会计专业技术资格考试。此外，注册会计师行业的从业人员也接近40万人。</w:t>
      </w:r>
    </w:p>
    <w:tbl>
      <w:tblPr>
        <w:tblStyle w:val="42"/>
        <w:tblW w:w="0" w:type="auto"/>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13"/>
        <w:gridCol w:w="4513"/>
      </w:tblGrid>
      <w:tr w14:paraId="7676A015">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6" w:hRule="atLeast"/>
        </w:trPr>
        <w:tc>
          <w:p w14:paraId="2ACB5D58">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会计专业技术资格</w:t>
            </w:r>
          </w:p>
        </w:tc>
        <w:tc>
          <w:p w14:paraId="2E292CE4">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人数（万人）</w:t>
            </w:r>
          </w:p>
        </w:tc>
      </w:tr>
      <w:tr w14:paraId="7DA9DCB6">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trPr>
        <w:tc>
          <w:p w14:paraId="7BA1E4AA">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初级会计</w:t>
            </w:r>
          </w:p>
        </w:tc>
        <w:tc>
          <w:p w14:paraId="116DD336">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670.2</w:t>
            </w:r>
          </w:p>
        </w:tc>
      </w:tr>
      <w:tr w14:paraId="492FA5D5">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2" w:hRule="atLeast"/>
        </w:trPr>
        <w:tc>
          <w:p w14:paraId="37830C64">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中级会计</w:t>
            </w:r>
          </w:p>
        </w:tc>
        <w:tc>
          <w:p w14:paraId="5B75EC4F">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242.02</w:t>
            </w:r>
          </w:p>
        </w:tc>
      </w:tr>
      <w:tr w14:paraId="746A528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6" w:hRule="atLeast"/>
        </w:trPr>
        <w:tc>
          <w:p w14:paraId="0A08C70B">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高级会计</w:t>
            </w:r>
          </w:p>
        </w:tc>
        <w:tc>
          <w:p w14:paraId="4BB319E4">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20.57</w:t>
            </w:r>
          </w:p>
        </w:tc>
      </w:tr>
      <w:tr w14:paraId="78BE50FA">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1" w:hRule="atLeast"/>
        </w:trPr>
        <w:tc>
          <w:p w14:paraId="7DC0710B">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注册会计师</w:t>
            </w:r>
          </w:p>
        </w:tc>
        <w:tc>
          <w:p w14:paraId="1AE0B995">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center"/>
              <w:textAlignment w:val="auto"/>
              <w:rPr>
                <w:sz w:val="20"/>
                <w:szCs w:val="21"/>
              </w:rPr>
            </w:pPr>
            <w:r>
              <w:rPr>
                <w:rFonts w:hint="eastAsia" w:ascii="微软雅黑" w:hAnsi="微软雅黑" w:eastAsia="微软雅黑"/>
                <w:sz w:val="22"/>
                <w:szCs w:val="21"/>
              </w:rPr>
              <w:t>40</w:t>
            </w:r>
          </w:p>
        </w:tc>
      </w:tr>
    </w:tbl>
    <w:p w14:paraId="0E2B4003">
      <w:pPr>
        <w:spacing w:line="400" w:lineRule="exact"/>
        <w:ind w:firstLine="480" w:firstLineChars="200"/>
        <w:rPr>
          <w:rFonts w:hint="eastAsia" w:ascii="仿宋_GB2312" w:hAnsi="仿宋_GB2312" w:eastAsia="仿宋_GB2312" w:cs="仿宋_GB2312"/>
          <w:sz w:val="24"/>
          <w:szCs w:val="24"/>
          <w:lang w:val="en-US" w:eastAsia="zh-CN" w:bidi="ar"/>
        </w:rPr>
      </w:pPr>
    </w:p>
    <w:p w14:paraId="15D17752">
      <w:pPr>
        <w:spacing w:line="400" w:lineRule="exact"/>
        <w:ind w:firstLine="420" w:firstLineChars="200"/>
        <w:rPr>
          <w:rFonts w:hint="eastAsia" w:ascii="仿宋_GB2312" w:hAnsi="仿宋_GB2312" w:eastAsia="仿宋_GB2312" w:cs="仿宋_GB2312"/>
          <w:sz w:val="24"/>
          <w:szCs w:val="24"/>
          <w:lang w:val="en-US" w:eastAsia="zh-CN" w:bidi="ar"/>
        </w:rPr>
      </w:pPr>
      <w:r>
        <w:drawing>
          <wp:anchor distT="0" distB="0" distL="0" distR="0" simplePos="0" relativeHeight="251664384" behindDoc="0" locked="0" layoutInCell="1" allowOverlap="1">
            <wp:simplePos x="0" y="0"/>
            <wp:positionH relativeFrom="column">
              <wp:posOffset>-71120</wp:posOffset>
            </wp:positionH>
            <wp:positionV relativeFrom="paragraph">
              <wp:posOffset>100965</wp:posOffset>
            </wp:positionV>
            <wp:extent cx="5615305" cy="1709420"/>
            <wp:effectExtent l="0" t="0" r="10795" b="508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lum bright="6000"/>
                    </a:blip>
                    <a:stretch>
                      <a:fillRect/>
                    </a:stretch>
                  </pic:blipFill>
                  <pic:spPr>
                    <a:xfrm>
                      <a:off x="0" y="0"/>
                      <a:ext cx="5615305" cy="1709420"/>
                    </a:xfrm>
                    <a:prstGeom prst="rect">
                      <a:avLst/>
                    </a:prstGeom>
                  </pic:spPr>
                </pic:pic>
              </a:graphicData>
            </a:graphic>
          </wp:anchor>
        </w:drawing>
      </w:r>
    </w:p>
    <w:p w14:paraId="0628B63A">
      <w:pPr>
        <w:spacing w:line="400" w:lineRule="exact"/>
        <w:ind w:firstLine="480" w:firstLineChars="200"/>
        <w:rPr>
          <w:rFonts w:hint="eastAsia" w:ascii="仿宋_GB2312" w:hAnsi="仿宋_GB2312" w:eastAsia="仿宋_GB2312" w:cs="仿宋_GB2312"/>
          <w:sz w:val="24"/>
          <w:szCs w:val="24"/>
          <w:lang w:val="en-US" w:eastAsia="zh-CN" w:bidi="ar"/>
        </w:rPr>
      </w:pPr>
    </w:p>
    <w:p w14:paraId="4433B9F9">
      <w:pPr>
        <w:spacing w:line="400" w:lineRule="exact"/>
        <w:ind w:firstLine="480" w:firstLineChars="200"/>
        <w:rPr>
          <w:rFonts w:hint="eastAsia" w:ascii="仿宋_GB2312" w:hAnsi="仿宋_GB2312" w:eastAsia="仿宋_GB2312" w:cs="仿宋_GB2312"/>
          <w:sz w:val="24"/>
          <w:szCs w:val="24"/>
          <w:lang w:val="en-US" w:eastAsia="zh-CN" w:bidi="ar"/>
        </w:rPr>
      </w:pPr>
    </w:p>
    <w:p w14:paraId="53A98CD5">
      <w:pPr>
        <w:spacing w:line="400" w:lineRule="exact"/>
        <w:ind w:firstLine="480" w:firstLineChars="200"/>
        <w:rPr>
          <w:rFonts w:hint="eastAsia" w:ascii="仿宋_GB2312" w:hAnsi="仿宋_GB2312" w:eastAsia="仿宋_GB2312" w:cs="仿宋_GB2312"/>
          <w:sz w:val="24"/>
          <w:szCs w:val="24"/>
          <w:lang w:val="en-US" w:eastAsia="zh-CN" w:bidi="ar"/>
        </w:rPr>
      </w:pPr>
    </w:p>
    <w:p w14:paraId="0E28A63E">
      <w:pPr>
        <w:spacing w:line="400" w:lineRule="exact"/>
        <w:ind w:firstLine="480" w:firstLineChars="200"/>
        <w:rPr>
          <w:rFonts w:hint="eastAsia" w:ascii="仿宋_GB2312" w:hAnsi="仿宋_GB2312" w:eastAsia="仿宋_GB2312" w:cs="仿宋_GB2312"/>
          <w:sz w:val="24"/>
          <w:szCs w:val="24"/>
          <w:lang w:val="en-US" w:eastAsia="zh-CN" w:bidi="ar"/>
        </w:rPr>
      </w:pPr>
    </w:p>
    <w:p w14:paraId="3D9C40F6">
      <w:pPr>
        <w:spacing w:line="400" w:lineRule="exact"/>
        <w:ind w:firstLine="480" w:firstLineChars="200"/>
        <w:rPr>
          <w:rFonts w:hint="eastAsia" w:ascii="仿宋_GB2312" w:hAnsi="仿宋_GB2312" w:eastAsia="仿宋_GB2312" w:cs="仿宋_GB2312"/>
          <w:sz w:val="24"/>
          <w:szCs w:val="24"/>
          <w:lang w:val="en-US" w:eastAsia="zh-CN" w:bidi="ar"/>
        </w:rPr>
      </w:pPr>
    </w:p>
    <w:p w14:paraId="29DA5DF1">
      <w:pPr>
        <w:spacing w:line="400" w:lineRule="exact"/>
        <w:rPr>
          <w:rFonts w:hint="eastAsia" w:ascii="仿宋_GB2312" w:hAnsi="仿宋_GB2312" w:eastAsia="仿宋_GB2312" w:cs="仿宋_GB2312"/>
          <w:sz w:val="24"/>
          <w:szCs w:val="24"/>
          <w:lang w:val="en-US" w:eastAsia="zh-CN" w:bidi="ar"/>
        </w:rPr>
      </w:pPr>
    </w:p>
    <w:p w14:paraId="2B17ED55">
      <w:pPr>
        <w:spacing w:line="400" w:lineRule="exact"/>
        <w:rPr>
          <w:rFonts w:hint="eastAsia" w:ascii="仿宋_GB2312" w:hAnsi="仿宋_GB2312" w:eastAsia="仿宋_GB2312" w:cs="仿宋_GB2312"/>
          <w:sz w:val="24"/>
          <w:szCs w:val="24"/>
          <w:lang w:val="en-US" w:eastAsia="zh-CN" w:bidi="ar"/>
        </w:rPr>
      </w:pPr>
    </w:p>
    <w:p w14:paraId="1FE506E3">
      <w:pPr>
        <w:spacing w:line="400" w:lineRule="exact"/>
        <w:ind w:firstLine="480" w:firstLineChars="200"/>
        <w:rPr>
          <w:rFonts w:hint="eastAsia" w:ascii="仿宋_GB2312" w:hAnsi="仿宋_GB2312" w:eastAsia="仿宋_GB2312" w:cs="仿宋_GB2312"/>
          <w:sz w:val="24"/>
          <w:szCs w:val="24"/>
          <w:lang w:val="en-US" w:eastAsia="zh-CN" w:bidi="ar"/>
        </w:rPr>
      </w:pPr>
      <w:r>
        <w:rPr>
          <w:rFonts w:hint="eastAsia" w:ascii="仿宋_GB2312" w:hAnsi="仿宋_GB2312" w:eastAsia="仿宋_GB2312" w:cs="仿宋_GB2312"/>
          <w:sz w:val="24"/>
          <w:szCs w:val="24"/>
          <w:lang w:val="en-US" w:eastAsia="zh-CN" w:bidi="ar"/>
        </w:rPr>
        <w:t>近年来，随着中国经济的不断发展和会计制度的日益完善，会计行业对人才的需求也在不断变化。特别是在“十四五”期间，对中级会计职称人员队伍规模提出了新要求，预期在2025年中级会计持证团队人数需大于300万人。这也意味着，未来会计行业的职业资格认证和发展将更加注重实际操作能力和专业技能的提升。</w:t>
      </w:r>
    </w:p>
    <w:p w14:paraId="7B782C1E">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val="en-US" w:eastAsia="zh-CN" w:bidi="ar"/>
        </w:rPr>
        <w:t>总体来说，中国会计行业的职业资格情况呈现出规范化、专业化的发展趋势，对从业人员的素质和能力要求也在不断提高。同时，随着行业的发展和变化，会计职业资格认证制度也在不断完善和调整，以适应新的市场需求和发展趋势。</w:t>
      </w:r>
    </w:p>
    <w:p w14:paraId="7D9B5237">
      <w:pPr>
        <w:pStyle w:val="37"/>
        <w:widowControl w:val="0"/>
        <w:snapToGrid w:val="0"/>
        <w:spacing w:before="0" w:beforeAutospacing="0" w:after="0" w:afterAutospacing="0" w:line="400" w:lineRule="exact"/>
        <w:ind w:firstLine="480" w:firstLineChars="200"/>
        <w:jc w:val="both"/>
        <w:outlineLvl w:val="1"/>
        <w:rPr>
          <w:rFonts w:ascii="楷体_GB2312" w:hAnsi="楷体_GB2312" w:eastAsia="楷体_GB2312" w:cs="楷体_GB2312"/>
        </w:rPr>
      </w:pPr>
      <w:bookmarkStart w:id="103" w:name="_Toc30065"/>
      <w:bookmarkStart w:id="104" w:name="_Toc11071"/>
      <w:bookmarkStart w:id="105" w:name="_Toc6059"/>
      <w:bookmarkStart w:id="106" w:name="_Toc13447"/>
      <w:bookmarkStart w:id="107" w:name="_Toc32161"/>
      <w:bookmarkStart w:id="108" w:name="_Toc22952"/>
      <w:r>
        <w:rPr>
          <w:rFonts w:hint="eastAsia" w:ascii="楷体_GB2312" w:hAnsi="楷体_GB2312" w:eastAsia="楷体_GB2312" w:cs="楷体_GB2312"/>
          <w:kern w:val="2"/>
          <w:lang w:bidi="ar"/>
        </w:rPr>
        <w:t>（二）现有课程实施与企业反馈</w:t>
      </w:r>
      <w:bookmarkEnd w:id="103"/>
      <w:bookmarkEnd w:id="104"/>
      <w:bookmarkEnd w:id="105"/>
      <w:bookmarkEnd w:id="106"/>
      <w:bookmarkEnd w:id="107"/>
      <w:bookmarkEnd w:id="108"/>
    </w:p>
    <w:p w14:paraId="46285D0C">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我校会计事务专业，设置了会计基础、金融认知、经济法基础、税收基础、企业财务会计、纳税实务和会计信息化等课程，尽量扩大毕业生的就业面，保障学生就业。</w:t>
      </w:r>
    </w:p>
    <w:p w14:paraId="68782FAD">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在企业调研中，所有企业都希望学校的专业教学能注重实践能力、新设备、新技术、新工艺的培养，尽量与岗位对接，毕业就能顶岗工作或有一段短暂的工作适应期后就能适应岗位工作。但不同性质的企业对专业课程实施的意见也不尽相同。生产、制造企业希望学校多开始出纳实务、财务共享等方面的课程；外资企业则希望学校开始专业英语、经济法律等方面的课程。</w:t>
      </w:r>
    </w:p>
    <w:p w14:paraId="7EA3C5A0">
      <w:pPr>
        <w:pStyle w:val="37"/>
        <w:widowControl w:val="0"/>
        <w:snapToGrid w:val="0"/>
        <w:spacing w:before="0" w:beforeAutospacing="0" w:after="0" w:afterAutospacing="0" w:line="400" w:lineRule="exact"/>
        <w:ind w:firstLine="480" w:firstLineChars="200"/>
        <w:jc w:val="both"/>
        <w:outlineLvl w:val="1"/>
        <w:rPr>
          <w:rFonts w:ascii="楷体_GB2312" w:hAnsi="楷体_GB2312" w:eastAsia="楷体_GB2312" w:cs="楷体_GB2312"/>
        </w:rPr>
      </w:pPr>
      <w:bookmarkStart w:id="109" w:name="_Toc4898"/>
      <w:bookmarkStart w:id="110" w:name="_Toc30390"/>
      <w:bookmarkStart w:id="111" w:name="_Toc6523"/>
      <w:bookmarkStart w:id="112" w:name="_Toc31235"/>
      <w:bookmarkStart w:id="113" w:name="_Toc9828"/>
      <w:bookmarkStart w:id="114" w:name="_Toc19156"/>
      <w:r>
        <w:rPr>
          <w:rFonts w:hint="eastAsia" w:ascii="楷体_GB2312" w:hAnsi="楷体_GB2312" w:eastAsia="楷体_GB2312" w:cs="楷体_GB2312"/>
          <w:kern w:val="2"/>
          <w:lang w:bidi="ar"/>
        </w:rPr>
        <w:t>（三）毕业生在企业就业情况</w:t>
      </w:r>
      <w:bookmarkEnd w:id="109"/>
      <w:bookmarkEnd w:id="110"/>
      <w:bookmarkEnd w:id="111"/>
      <w:bookmarkEnd w:id="112"/>
      <w:bookmarkEnd w:id="113"/>
      <w:bookmarkEnd w:id="114"/>
    </w:p>
    <w:p w14:paraId="087BFD6A">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目前多数学校专业毕业生就业情况良好，平均初次就业率达96%。但各学校毕业生就业情况存在明显差异，有的学校毕业生受到用人单位欢迎，在行业享有知名度，对口就业率达100%，也有的学校毕业生就业率仅为60%左右。</w:t>
      </w:r>
    </w:p>
    <w:p w14:paraId="5A6217E1">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在对我校本专业毕业生的调研中发现，毕业生当年对口就业率为98%，但工作两年后的对口就业率仅为70%，部分学生存在频繁换岗的情况，有15%的毕业生不再从事会计相关行业。对口就业的学生，财税行业平均月薪在4000元以上，毕业生就业满意度较高，很多学生开始专注于技能证书的获得和学历的提升，以便在企业中有更好的发展。在对企业调研时，企业明确表示，部分学生已经进入企业的重点培养对象行列，在未来会有很好的成长空间。</w:t>
      </w:r>
    </w:p>
    <w:p w14:paraId="20A33A0D">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8"/>
        </w:rPr>
      </w:pPr>
      <w:bookmarkStart w:id="115" w:name="_Toc11550"/>
      <w:bookmarkStart w:id="116" w:name="_Toc110176530"/>
      <w:bookmarkStart w:id="117" w:name="_Toc3439"/>
      <w:r>
        <w:rPr>
          <w:rFonts w:hint="eastAsia" w:ascii="黑体" w:hAnsi="黑体" w:eastAsia="黑体" w:cs="黑体"/>
          <w:sz w:val="24"/>
          <w:szCs w:val="28"/>
        </w:rPr>
        <w:t>调研结论及对策建议</w:t>
      </w:r>
      <w:bookmarkEnd w:id="115"/>
      <w:bookmarkEnd w:id="116"/>
      <w:bookmarkEnd w:id="117"/>
    </w:p>
    <w:p w14:paraId="1798D32F">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从上述调查结果的分析可以看出，我国职业院校会计事务专业人才的培养与企业实际需要、社会需求基本相符，同时调研的结果也给了我们修订会计事务专业人才培训方案很多启示。</w:t>
      </w:r>
    </w:p>
    <w:p w14:paraId="04BAA68C">
      <w:pPr>
        <w:pStyle w:val="4"/>
        <w:spacing w:before="0" w:after="0" w:line="400" w:lineRule="exact"/>
        <w:ind w:firstLine="480" w:firstLineChars="200"/>
        <w:rPr>
          <w:rFonts w:ascii="楷体" w:hAnsi="楷体" w:eastAsia="楷体" w:cs="楷体"/>
          <w:sz w:val="24"/>
          <w:szCs w:val="24"/>
        </w:rPr>
      </w:pPr>
      <w:bookmarkStart w:id="118" w:name="_Toc30406"/>
      <w:bookmarkStart w:id="119" w:name="_Toc10444"/>
      <w:bookmarkStart w:id="120" w:name="_Toc19456"/>
      <w:bookmarkStart w:id="121" w:name="_Toc31072"/>
      <w:bookmarkStart w:id="122" w:name="_Toc2592"/>
      <w:r>
        <w:rPr>
          <w:rFonts w:hint="eastAsia" w:ascii="楷体" w:hAnsi="楷体" w:eastAsia="楷体" w:cs="楷体"/>
          <w:sz w:val="24"/>
          <w:szCs w:val="24"/>
        </w:rPr>
        <w:t>（一）调研结论</w:t>
      </w:r>
      <w:bookmarkEnd w:id="118"/>
      <w:bookmarkEnd w:id="119"/>
      <w:bookmarkEnd w:id="120"/>
      <w:bookmarkEnd w:id="121"/>
      <w:bookmarkEnd w:id="122"/>
    </w:p>
    <w:p w14:paraId="596CBAE0">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bidi="ar"/>
        </w:rPr>
        <w:t>从调研情况看，本专业人才的培养工作距用人单位的要求尚有一定的差距。</w:t>
      </w:r>
    </w:p>
    <w:p w14:paraId="51C30FB1">
      <w:pPr>
        <w:pStyle w:val="179"/>
        <w:widowControl/>
        <w:spacing w:line="400" w:lineRule="exact"/>
        <w:ind w:left="560" w:firstLine="0" w:firstLineChars="0"/>
        <w:rPr>
          <w:rFonts w:hint="default" w:ascii="仿宋_GB2312" w:hAnsi="仿宋_GB2312" w:eastAsia="仿宋_GB2312" w:cs="仿宋_GB2312"/>
          <w:sz w:val="24"/>
          <w:szCs w:val="24"/>
        </w:rPr>
      </w:pPr>
      <w:r>
        <w:rPr>
          <w:rFonts w:ascii="仿宋_GB2312" w:hAnsi="仿宋_GB2312" w:eastAsia="仿宋_GB2312" w:cs="仿宋_GB2312"/>
          <w:sz w:val="24"/>
          <w:szCs w:val="24"/>
        </w:rPr>
        <w:t>1.行业企业人才需求量大</w:t>
      </w:r>
    </w:p>
    <w:p w14:paraId="774738EF">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会计事务专业人才需求量始终保持稳定并不断增加；经济越发展会计越重要，随着经济发展水平的提高，管理现代化的推进，社会对会计人才素质的要求也越来越高，需求量占所有人才需求量的80%左右，尤其是对财务共享、智能财税等技术性人才的需求越来越大。</w:t>
      </w:r>
    </w:p>
    <w:p w14:paraId="273038E0">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中职毕业生传统会计就业岗位有所萎缩，新扩展的相关职业岗位不断增加，可以把会计核算员、出纳员、收银员等作为本专业的关键岗位，智能财税、纳税申报、财务共享、财务机器人等信息化操作作为拓展岗位，以更好地适应会计事务的专业发展。</w:t>
      </w:r>
    </w:p>
    <w:p w14:paraId="77758396">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bidi="ar"/>
        </w:rPr>
        <w:t>2.明确专业定位与培养目标</w:t>
      </w:r>
    </w:p>
    <w:p w14:paraId="658A4486">
      <w:pPr>
        <w:spacing w:line="40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以服务乡村振兴、一带一路等为宗旨，以就业为导向，主动适应经济增长方式转变和产业结构调整及升级，不断探索适应经济社会发展需要的会计事务的高素质技能型人才培养模式。通过对财税人才供需状况和人才规格的分析，进一步明确中职“会计事务”培养的目标。</w:t>
      </w:r>
    </w:p>
    <w:p w14:paraId="1FDAA96F">
      <w:pPr>
        <w:spacing w:line="400" w:lineRule="exact"/>
        <w:ind w:firstLine="480" w:firstLineChars="200"/>
        <w:rPr>
          <w:rFonts w:ascii="宋体" w:hAnsi="宋体" w:eastAsia="宋体" w:cs="仿宋"/>
          <w:kern w:val="0"/>
          <w:sz w:val="24"/>
          <w:szCs w:val="24"/>
        </w:rPr>
      </w:pPr>
      <w:r>
        <w:rPr>
          <w:rFonts w:hint="eastAsia" w:ascii="仿宋_GB2312" w:hAnsi="仿宋_GB2312" w:eastAsia="仿宋_GB2312" w:cs="仿宋_GB2312"/>
          <w:sz w:val="24"/>
          <w:szCs w:val="24"/>
          <w:lang w:bidi="ar"/>
        </w:rPr>
        <w:t>本专业培养能够践行社会主义核心价值观，具有一定的科学文化水平，良好的人文素养、职业道德和创新意识，精益求精的工匠精神，较强的就业创业能力和可持续发展的能力，掌握本专业知识和技术技能，面向中小型工商企业和代理记账公司等企业行业的财务会计岗位、税务会计岗位、出纳岗位、成本核算岗位等职业群（或技术领域），从事代理记账、发票开具、票据分类整理、出纳、制单记账与财务会计核算、纳税申报、财税综合业务等工作，具备良好的会计职业素质，掌握会计基本理论知识知识，具备会计基本技能的操作能力，德、智、体、美、劳全面发展的高素质劳动者和技术技能人才。</w:t>
      </w:r>
    </w:p>
    <w:p w14:paraId="1B17A6F0">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3.明确会计事务专业的方向设置与课程体系构建</w:t>
      </w:r>
    </w:p>
    <w:p w14:paraId="29E60F5D">
      <w:pPr>
        <w:spacing w:line="400" w:lineRule="exact"/>
        <w:ind w:firstLine="480" w:firstLineChars="200"/>
        <w:rPr>
          <w:rFonts w:ascii="仿宋_GB2312" w:hAnsi="仿宋_GB2312" w:eastAsia="仿宋_GB2312" w:cs="仿宋_GB2312"/>
          <w:sz w:val="24"/>
          <w:szCs w:val="24"/>
          <w:lang w:bidi="ar"/>
        </w:rPr>
      </w:pPr>
      <w:r>
        <w:rPr>
          <w:rFonts w:ascii="仿宋_GB2312" w:hAnsi="仿宋_GB2312" w:eastAsia="仿宋_GB2312" w:cs="仿宋_GB2312"/>
          <w:sz w:val="24"/>
          <w:szCs w:val="24"/>
          <w:lang w:bidi="ar"/>
        </w:rPr>
        <w:t>通过对山东省商贸发展现状的调研分析，以及对山东省商贸专业人才需求的调研分析，</w:t>
      </w:r>
      <w:r>
        <w:rPr>
          <w:rFonts w:hint="eastAsia" w:ascii="仿宋_GB2312" w:hAnsi="仿宋_GB2312" w:eastAsia="仿宋_GB2312" w:cs="仿宋_GB2312"/>
          <w:sz w:val="24"/>
          <w:szCs w:val="24"/>
          <w:lang w:bidi="ar"/>
        </w:rPr>
        <w:t>中等职业学校会计专业的发展各校还不平衡，无论是师资队伍、实验实训设施和实习基地建设都需要不断加强；专业课程体系构建要打破理论课和实训课的界限，做到理实一体，师生双方做、学、教一体；</w:t>
      </w:r>
      <w:r>
        <w:rPr>
          <w:rFonts w:ascii="仿宋_GB2312" w:hAnsi="仿宋_GB2312" w:eastAsia="仿宋_GB2312" w:cs="仿宋_GB2312"/>
          <w:sz w:val="24"/>
          <w:szCs w:val="24"/>
          <w:lang w:bidi="ar"/>
        </w:rPr>
        <w:t>同时，还应根据行业发展趋势和企业用人需求，建立动态调整机制，实现课程内容与职业标准相对接，</w:t>
      </w:r>
      <w:r>
        <w:rPr>
          <w:rFonts w:hint="eastAsia" w:ascii="仿宋_GB2312" w:hAnsi="仿宋_GB2312" w:eastAsia="仿宋_GB2312" w:cs="仿宋_GB2312"/>
          <w:sz w:val="24"/>
          <w:szCs w:val="24"/>
          <w:lang w:bidi="ar"/>
        </w:rPr>
        <w:t>课程设计要符合会计专业就业岗位群的现实需要，适应就业去向的变化而不断优化，加强职业道德教育，突出动手能力和专业技能的培养。</w:t>
      </w:r>
    </w:p>
    <w:p w14:paraId="3E37238B">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职教本科的培养。中职学生可通过参加职教高考继续升学深造。根据职教高考考试大纲要求，其课程遵循“知识＋技能”模式，培养计划与职教高考相适应，以满足更高的社会要求，才能更好的为高等学校输送人才。</w:t>
      </w:r>
      <w:r>
        <w:rPr>
          <w:rFonts w:ascii="仿宋_GB2312" w:hAnsi="仿宋_GB2312" w:eastAsia="仿宋_GB2312" w:cs="仿宋_GB2312"/>
          <w:sz w:val="24"/>
          <w:szCs w:val="24"/>
          <w:lang w:bidi="ar"/>
        </w:rPr>
        <w:t>课程体系中要求加大实践课程比例，突出基本技能培养，减少传统的理论考试方式，加强技能考核</w:t>
      </w:r>
      <w:r>
        <w:rPr>
          <w:rFonts w:hint="eastAsia" w:ascii="仿宋_GB2312" w:hAnsi="仿宋_GB2312" w:eastAsia="仿宋_GB2312" w:cs="仿宋_GB2312"/>
          <w:sz w:val="24"/>
          <w:szCs w:val="24"/>
          <w:lang w:bidi="ar"/>
        </w:rPr>
        <w:t>。</w:t>
      </w:r>
    </w:p>
    <w:p w14:paraId="275D5464">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4.推进产教融合，加快专业与产业对接</w:t>
      </w:r>
    </w:p>
    <w:p w14:paraId="385EF35E">
      <w:pPr>
        <w:spacing w:line="400" w:lineRule="exact"/>
        <w:ind w:firstLine="480" w:firstLineChars="200"/>
        <w:rPr>
          <w:rFonts w:ascii="仿宋_GB2312" w:hAnsi="仿宋_GB2312" w:eastAsia="仿宋_GB2312" w:cs="仿宋_GB2312"/>
          <w:sz w:val="24"/>
          <w:szCs w:val="24"/>
          <w:lang w:bidi="ar"/>
        </w:rPr>
      </w:pPr>
      <w:r>
        <w:rPr>
          <w:rFonts w:ascii="仿宋_GB2312" w:hAnsi="仿宋_GB2312" w:eastAsia="仿宋_GB2312" w:cs="仿宋_GB2312"/>
          <w:sz w:val="24"/>
          <w:szCs w:val="24"/>
          <w:lang w:bidi="ar"/>
        </w:rPr>
        <w:t>在</w:t>
      </w:r>
      <w:r>
        <w:rPr>
          <w:rFonts w:hint="eastAsia" w:ascii="仿宋_GB2312" w:hAnsi="仿宋_GB2312" w:eastAsia="仿宋_GB2312" w:cs="仿宋_GB2312"/>
          <w:sz w:val="24"/>
          <w:szCs w:val="24"/>
          <w:lang w:bidi="ar"/>
        </w:rPr>
        <w:t>不断</w:t>
      </w:r>
      <w:r>
        <w:rPr>
          <w:rFonts w:ascii="仿宋_GB2312" w:hAnsi="仿宋_GB2312" w:eastAsia="仿宋_GB2312" w:cs="仿宋_GB2312"/>
          <w:sz w:val="24"/>
          <w:szCs w:val="24"/>
          <w:lang w:bidi="ar"/>
        </w:rPr>
        <w:t>深化产教融合、校企合作的背景下，教师应结合教学内容，尤其是职业模块教学内容，创设仿真或真实的教学情境，探索中等职业学校</w:t>
      </w:r>
      <w:r>
        <w:rPr>
          <w:rFonts w:hint="eastAsia" w:ascii="仿宋_GB2312" w:hAnsi="仿宋_GB2312" w:eastAsia="仿宋_GB2312" w:cs="仿宋_GB2312"/>
          <w:sz w:val="24"/>
          <w:szCs w:val="24"/>
          <w:lang w:bidi="ar"/>
        </w:rPr>
        <w:t>专业理论知识</w:t>
      </w:r>
      <w:r>
        <w:rPr>
          <w:rFonts w:ascii="仿宋_GB2312" w:hAnsi="仿宋_GB2312" w:eastAsia="仿宋_GB2312" w:cs="仿宋_GB2312"/>
          <w:sz w:val="24"/>
          <w:szCs w:val="24"/>
          <w:lang w:bidi="ar"/>
        </w:rPr>
        <w:t>与专业实践相融合的教学新模式，促进学生实践与应用能力的提升</w:t>
      </w:r>
      <w:r>
        <w:rPr>
          <w:rFonts w:hint="eastAsia" w:ascii="仿宋_GB2312" w:hAnsi="仿宋_GB2312" w:eastAsia="仿宋_GB2312" w:cs="仿宋_GB2312"/>
          <w:sz w:val="24"/>
          <w:szCs w:val="24"/>
          <w:lang w:bidi="ar"/>
        </w:rPr>
        <w:t>。</w:t>
      </w:r>
    </w:p>
    <w:p w14:paraId="0B605F47">
      <w:pPr>
        <w:pStyle w:val="4"/>
        <w:spacing w:before="0" w:after="0" w:line="400" w:lineRule="exact"/>
        <w:ind w:firstLine="480" w:firstLineChars="200"/>
        <w:rPr>
          <w:rFonts w:ascii="楷体" w:hAnsi="楷体" w:eastAsia="楷体" w:cs="楷体"/>
          <w:sz w:val="24"/>
          <w:szCs w:val="24"/>
        </w:rPr>
      </w:pPr>
      <w:bookmarkStart w:id="123" w:name="_Toc110176532"/>
      <w:bookmarkStart w:id="124" w:name="_Toc18396"/>
      <w:bookmarkStart w:id="125" w:name="_Toc13052"/>
      <w:bookmarkStart w:id="126" w:name="_Toc26243"/>
      <w:bookmarkStart w:id="127" w:name="_Toc12817"/>
      <w:bookmarkStart w:id="128" w:name="_Toc13304"/>
      <w:r>
        <w:rPr>
          <w:rFonts w:hint="eastAsia" w:ascii="楷体" w:hAnsi="楷体" w:eastAsia="楷体" w:cs="楷体"/>
          <w:sz w:val="24"/>
          <w:szCs w:val="24"/>
        </w:rPr>
        <w:t>（二）对策建议</w:t>
      </w:r>
      <w:bookmarkEnd w:id="123"/>
      <w:bookmarkEnd w:id="124"/>
      <w:bookmarkEnd w:id="125"/>
      <w:bookmarkEnd w:id="126"/>
      <w:bookmarkEnd w:id="127"/>
      <w:bookmarkEnd w:id="128"/>
    </w:p>
    <w:p w14:paraId="74933F0E">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为适应财税行业快速发展的节奏，培养适应企业需求的人才，人才培养模式与课程体系改革应该体现产教融合、能力本位。建议做好如下几点：</w:t>
      </w:r>
    </w:p>
    <w:p w14:paraId="098641BF">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1.优化人才培养模式</w:t>
      </w:r>
    </w:p>
    <w:p w14:paraId="30F76D66">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 xml:space="preserve">加强校企合作，突出产教结合，创新具有自己特色的人才培养模式，加强学生职业能力和创新创业能力的培养，提高人才培养质量。 </w:t>
      </w:r>
    </w:p>
    <w:p w14:paraId="6AA068D3">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2.构建合理的课程体系</w:t>
      </w:r>
    </w:p>
    <w:p w14:paraId="69A47C5D">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引入企业行业的岗位标准，构建基于职业能力和综合素质培养为核心的课程体系。同时，还应根据行业发展趋势和企业用人需求，建立动态调整机制，实现课程内容与职业标准相对接，课程目标与职业岗位知识、能力和素质的要求相符合。课程体系中要求加大实践课程比例，突出基本技能培养，减少传统的理论考试方式，加强技能考核。</w:t>
      </w:r>
    </w:p>
    <w:p w14:paraId="4EDACFE5">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3.改善教师队伍结构，建设专兼结合教学创新师资团队</w:t>
      </w:r>
    </w:p>
    <w:p w14:paraId="0454D5D9">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现代职业教育快速发展需要道德高尚、技艺精湛、教学水平高超的教师队伍，以职业工作过程为导向的模块化课程教学实施也需要专兼结合、理实结合、创新协作的教学团队；采用培养和聘任相结合的方式，建立素质优良、结构合理、专兼结合、学技并重的“双师型”师资队伍。力求专兼教师比例保持在1:1，双师素质教师达100%，生师比保证不高于18:1，力求达到16:1。</w:t>
      </w:r>
    </w:p>
    <w:p w14:paraId="4C0A2B7E">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4.打造多方位专业实习实训体系</w:t>
      </w:r>
    </w:p>
    <w:p w14:paraId="1A20D70E">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实习实训是职业教育一项重要的必不可少的内容，其效果关乎职业教育质量。国家一系列职业教育改革措施和文件也旨在鼓励“校企合作、产教融合”，将专业实习实训做出特色做出水平，切实提高学生职业技术水平和综合素质。为保证实训效果，强化学生职业技能，使学生在今后的工作中能上岗、能发展、能创业，学校可建立多个校内实训室，如会计综合实训室等。同时还应大力开展校外实训基地建设，将企业文化、职业素养训练、技能培训、业务流程实践等培训内容有机结合，为学生校外实训、顶岗实习、毕业生就业、教师下企业锻炼、开展校企横向科研合作提供了场所，基本确保专业实训教学计划和培养目标的实现。</w:t>
      </w:r>
    </w:p>
    <w:p w14:paraId="602A8B75">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会计事务专业将在企业师资等资源有一定保障的情况下，积极组织学生开展真实项目实战和创新创业实践，让学生在真实工作项目中巩固专业知识、训练专业技能、提高专业素质。通过课程单项技能训练、课程综合项目实训、模块化综合技能实训、真实项目实战、创新创业实践和毕业综合实习等，帮助学生实现从单项技能到综合技能过渡，从职业技能到专业综合能力和素质的提升。</w:t>
      </w:r>
    </w:p>
    <w:p w14:paraId="64814848">
      <w:pPr>
        <w:spacing w:line="400" w:lineRule="exact"/>
        <w:ind w:firstLine="480" w:firstLineChars="200"/>
        <w:rPr>
          <w:rFonts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5.构建科学的教学评价体系</w:t>
      </w:r>
    </w:p>
    <w:p w14:paraId="6FC81D0D">
      <w:pPr>
        <w:spacing w:line="400" w:lineRule="exact"/>
        <w:ind w:firstLine="480" w:firstLineChars="200"/>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在对教学效果的评价上，要注重学生是否具备适应职业岗位的核心职业能力，考试方式由书面考试、综合能力测评和过程型考试相结合。突出操作技能和实践能力的考核，突出解决实际问题能力的考核，突出创新能力的考核。将学校评价与企业评价结合；以项目实战运营、顶岗实习为代表的创新创业培训，将社会评价与学生自我评价结合；以专业基础课和专业核心课为代表的知识考核，将过程性评价与结果性评价结合。社会评价、企业评价、教师评价、学生自我评价、过程性评价等参与人才培养全过程，最终通过社会活动参与证明、职业技能等级证书、创新创业项目证书、实习实训证明、课程考核成绩等综合评价学生知识水平、技能水平和职业素质。</w:t>
      </w:r>
    </w:p>
    <w:p w14:paraId="35EE1453">
      <w:pPr>
        <w:spacing w:line="400" w:lineRule="exact"/>
        <w:ind w:firstLine="480" w:firstLineChars="200"/>
        <w:rPr>
          <w:rFonts w:hint="eastAsia" w:ascii="仿宋_GB2312" w:hAnsi="仿宋_GB2312" w:eastAsia="仿宋_GB2312" w:cs="仿宋_GB2312"/>
          <w:sz w:val="24"/>
          <w:szCs w:val="24"/>
          <w:lang w:bidi="ar"/>
        </w:rPr>
      </w:pPr>
    </w:p>
    <w:p w14:paraId="4BD1CE02">
      <w:pPr>
        <w:spacing w:line="400" w:lineRule="exact"/>
        <w:ind w:firstLine="480" w:firstLineChars="200"/>
        <w:rPr>
          <w:rFonts w:hint="eastAsia" w:ascii="仿宋_GB2312" w:hAnsi="仿宋_GB2312" w:eastAsia="仿宋_GB2312" w:cs="仿宋_GB2312"/>
          <w:sz w:val="24"/>
          <w:szCs w:val="24"/>
          <w:lang w:bidi="ar"/>
        </w:rPr>
      </w:pPr>
    </w:p>
    <w:p w14:paraId="0682E1F9">
      <w:pPr>
        <w:pStyle w:val="2"/>
        <w:ind w:left="0" w:leftChars="0" w:firstLine="1080" w:firstLineChars="300"/>
        <w:rPr>
          <w:rFonts w:ascii="黑体" w:hAnsi="Times New Roman"/>
          <w:sz w:val="24"/>
          <w:szCs w:val="21"/>
        </w:rPr>
      </w:pPr>
      <w:r>
        <w:rPr>
          <w:rFonts w:hint="eastAsia" w:ascii="方正小标宋_GBK" w:hAnsi="方正小标宋_GBK" w:eastAsia="方正小标宋_GBK" w:cs="方正小标宋_GBK"/>
          <w:kern w:val="0"/>
          <w:sz w:val="36"/>
          <w:szCs w:val="36"/>
        </w:rPr>
        <w:t>会计事务专业典型工作任务和职业能力分析</w:t>
      </w:r>
      <w:bookmarkEnd w:id="70"/>
      <w:bookmarkEnd w:id="71"/>
    </w:p>
    <w:p w14:paraId="74A80481">
      <w:pPr>
        <w:spacing w:line="400" w:lineRule="exact"/>
        <w:ind w:firstLine="480" w:firstLineChars="200"/>
        <w:rPr>
          <w:rFonts w:hint="eastAsia" w:ascii="仿宋_GB2312" w:eastAsia="仿宋_GB2312" w:cs="仿宋_GB2312"/>
          <w:kern w:val="0"/>
          <w:sz w:val="24"/>
          <w:szCs w:val="24"/>
        </w:rPr>
      </w:pPr>
    </w:p>
    <w:tbl>
      <w:tblPr>
        <w:tblStyle w:val="42"/>
        <w:tblW w:w="889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3210"/>
        <w:gridCol w:w="3881"/>
      </w:tblGrid>
      <w:tr w14:paraId="57C3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Borders>
              <w:top w:val="single" w:color="auto" w:sz="4" w:space="0"/>
              <w:left w:val="single" w:color="auto" w:sz="4" w:space="0"/>
              <w:bottom w:val="single" w:color="auto" w:sz="4" w:space="0"/>
              <w:right w:val="single" w:color="auto" w:sz="4" w:space="0"/>
            </w:tcBorders>
            <w:vAlign w:val="center"/>
          </w:tcPr>
          <w:p w14:paraId="0BE644C7">
            <w:pPr>
              <w:pStyle w:val="180"/>
              <w:widowControl/>
              <w:spacing w:line="400" w:lineRule="atLeast"/>
              <w:rPr>
                <w:kern w:val="0"/>
                <w:sz w:val="21"/>
                <w:szCs w:val="21"/>
              </w:rPr>
            </w:pPr>
            <w:r>
              <w:rPr>
                <w:rFonts w:ascii="宋体" w:hAnsi="宋体"/>
                <w:kern w:val="0"/>
                <w:sz w:val="21"/>
                <w:szCs w:val="21"/>
              </w:rPr>
              <w:t>工作领域</w:t>
            </w:r>
          </w:p>
          <w:p w14:paraId="4E344D02">
            <w:pPr>
              <w:pStyle w:val="180"/>
              <w:widowControl/>
              <w:spacing w:line="400" w:lineRule="atLeast"/>
              <w:rPr>
                <w:kern w:val="0"/>
                <w:sz w:val="21"/>
                <w:szCs w:val="21"/>
              </w:rPr>
            </w:pPr>
            <w:r>
              <w:rPr>
                <w:rFonts w:ascii="宋体" w:hAnsi="宋体"/>
                <w:kern w:val="0"/>
                <w:sz w:val="21"/>
                <w:szCs w:val="21"/>
              </w:rPr>
              <w:t>（岗位</w:t>
            </w:r>
            <w:r>
              <w:rPr>
                <w:kern w:val="0"/>
                <w:sz w:val="21"/>
                <w:szCs w:val="21"/>
              </w:rPr>
              <w:t>/</w:t>
            </w:r>
            <w:r>
              <w:rPr>
                <w:rFonts w:ascii="宋体" w:hAnsi="宋体"/>
                <w:kern w:val="0"/>
                <w:sz w:val="21"/>
                <w:szCs w:val="21"/>
              </w:rPr>
              <w:t>岗位群）</w:t>
            </w:r>
          </w:p>
        </w:tc>
        <w:tc>
          <w:tcPr>
            <w:tcW w:w="3210" w:type="dxa"/>
            <w:tcBorders>
              <w:top w:val="single" w:color="auto" w:sz="4" w:space="0"/>
              <w:left w:val="nil"/>
              <w:bottom w:val="single" w:color="auto" w:sz="4" w:space="0"/>
              <w:right w:val="single" w:color="auto" w:sz="4" w:space="0"/>
            </w:tcBorders>
            <w:vAlign w:val="center"/>
          </w:tcPr>
          <w:p w14:paraId="0BDD3762">
            <w:pPr>
              <w:pStyle w:val="180"/>
              <w:widowControl/>
              <w:spacing w:line="400" w:lineRule="atLeast"/>
              <w:jc w:val="center"/>
              <w:rPr>
                <w:kern w:val="0"/>
                <w:sz w:val="21"/>
                <w:szCs w:val="21"/>
              </w:rPr>
            </w:pPr>
            <w:r>
              <w:rPr>
                <w:rFonts w:ascii="宋体" w:hAnsi="宋体"/>
                <w:kern w:val="0"/>
                <w:sz w:val="21"/>
                <w:szCs w:val="21"/>
              </w:rPr>
              <w:t>典型工作任务</w:t>
            </w:r>
          </w:p>
        </w:tc>
        <w:tc>
          <w:tcPr>
            <w:tcW w:w="3881" w:type="dxa"/>
            <w:tcBorders>
              <w:top w:val="single" w:color="auto" w:sz="4" w:space="0"/>
              <w:left w:val="nil"/>
              <w:bottom w:val="single" w:color="auto" w:sz="4" w:space="0"/>
              <w:right w:val="single" w:color="auto" w:sz="4" w:space="0"/>
            </w:tcBorders>
            <w:vAlign w:val="center"/>
          </w:tcPr>
          <w:p w14:paraId="5CDD0725">
            <w:pPr>
              <w:pStyle w:val="180"/>
              <w:widowControl/>
              <w:spacing w:line="400" w:lineRule="atLeast"/>
              <w:jc w:val="center"/>
              <w:rPr>
                <w:kern w:val="0"/>
                <w:sz w:val="21"/>
                <w:szCs w:val="21"/>
              </w:rPr>
            </w:pPr>
            <w:r>
              <w:rPr>
                <w:rFonts w:ascii="宋体" w:hAnsi="宋体"/>
                <w:kern w:val="0"/>
                <w:sz w:val="21"/>
                <w:szCs w:val="21"/>
              </w:rPr>
              <w:t>职业能力要求</w:t>
            </w:r>
          </w:p>
        </w:tc>
      </w:tr>
      <w:tr w14:paraId="0141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806" w:type="dxa"/>
            <w:vMerge w:val="restart"/>
            <w:tcBorders>
              <w:top w:val="nil"/>
              <w:left w:val="single" w:color="auto" w:sz="4" w:space="0"/>
              <w:bottom w:val="single" w:color="auto" w:sz="4" w:space="0"/>
              <w:right w:val="single" w:color="auto" w:sz="4" w:space="0"/>
            </w:tcBorders>
            <w:vAlign w:val="center"/>
          </w:tcPr>
          <w:p w14:paraId="77BF9226">
            <w:pPr>
              <w:pStyle w:val="180"/>
              <w:widowControl/>
              <w:rPr>
                <w:kern w:val="0"/>
                <w:sz w:val="21"/>
                <w:szCs w:val="21"/>
              </w:rPr>
            </w:pPr>
            <w:r>
              <w:rPr>
                <w:rFonts w:ascii="宋体" w:hAnsi="宋体"/>
                <w:sz w:val="21"/>
                <w:szCs w:val="21"/>
              </w:rPr>
              <w:t>出纳、收银</w:t>
            </w:r>
            <w:r>
              <w:rPr>
                <w:sz w:val="21"/>
                <w:szCs w:val="21"/>
              </w:rPr>
              <w:t>(</w:t>
            </w:r>
            <w:r>
              <w:rPr>
                <w:rFonts w:ascii="宋体" w:hAnsi="宋体"/>
                <w:sz w:val="21"/>
                <w:szCs w:val="21"/>
              </w:rPr>
              <w:t>会计基础岗位</w:t>
            </w:r>
            <w:r>
              <w:rPr>
                <w:sz w:val="21"/>
                <w:szCs w:val="21"/>
              </w:rPr>
              <w:t>)</w:t>
            </w:r>
          </w:p>
        </w:tc>
        <w:tc>
          <w:tcPr>
            <w:tcW w:w="3210" w:type="dxa"/>
            <w:tcBorders>
              <w:top w:val="single" w:color="auto" w:sz="4" w:space="0"/>
              <w:left w:val="nil"/>
              <w:bottom w:val="single" w:color="auto" w:sz="4" w:space="0"/>
              <w:right w:val="single" w:color="auto" w:sz="4" w:space="0"/>
            </w:tcBorders>
            <w:vAlign w:val="center"/>
          </w:tcPr>
          <w:p w14:paraId="773218D1">
            <w:pPr>
              <w:pStyle w:val="180"/>
              <w:widowControl/>
              <w:rPr>
                <w:kern w:val="0"/>
                <w:sz w:val="21"/>
                <w:szCs w:val="21"/>
              </w:rPr>
            </w:pPr>
            <w:r>
              <w:rPr>
                <w:rFonts w:ascii="宋体" w:hAnsi="宋体"/>
                <w:kern w:val="0"/>
                <w:sz w:val="21"/>
                <w:szCs w:val="21"/>
              </w:rPr>
              <w:t>银行账户的开立、使用与管理</w:t>
            </w:r>
          </w:p>
        </w:tc>
        <w:tc>
          <w:tcPr>
            <w:tcW w:w="3881" w:type="dxa"/>
            <w:tcBorders>
              <w:top w:val="single" w:color="auto" w:sz="4" w:space="0"/>
              <w:left w:val="nil"/>
              <w:bottom w:val="single" w:color="auto" w:sz="4" w:space="0"/>
              <w:right w:val="single" w:color="auto" w:sz="4" w:space="0"/>
            </w:tcBorders>
            <w:vAlign w:val="center"/>
          </w:tcPr>
          <w:p w14:paraId="48AF32F1">
            <w:pPr>
              <w:pStyle w:val="180"/>
              <w:widowControl/>
              <w:rPr>
                <w:kern w:val="0"/>
                <w:sz w:val="21"/>
                <w:szCs w:val="21"/>
              </w:rPr>
            </w:pPr>
            <w:r>
              <w:rPr>
                <w:kern w:val="0"/>
                <w:sz w:val="21"/>
                <w:szCs w:val="21"/>
              </w:rPr>
              <w:t>1.</w:t>
            </w:r>
            <w:r>
              <w:rPr>
                <w:rFonts w:ascii="宋体" w:hAnsi="宋体"/>
                <w:kern w:val="0"/>
                <w:sz w:val="21"/>
                <w:szCs w:val="21"/>
              </w:rPr>
              <w:t>能进行银行账户的开立</w:t>
            </w:r>
          </w:p>
          <w:p w14:paraId="1C0E8F83">
            <w:pPr>
              <w:pStyle w:val="180"/>
              <w:widowControl/>
              <w:rPr>
                <w:kern w:val="0"/>
                <w:sz w:val="21"/>
                <w:szCs w:val="21"/>
              </w:rPr>
            </w:pPr>
            <w:r>
              <w:rPr>
                <w:kern w:val="0"/>
                <w:sz w:val="21"/>
                <w:szCs w:val="21"/>
              </w:rPr>
              <w:t>2.</w:t>
            </w:r>
            <w:r>
              <w:rPr>
                <w:rFonts w:ascii="宋体" w:hAnsi="宋体"/>
                <w:kern w:val="0"/>
                <w:sz w:val="21"/>
                <w:szCs w:val="21"/>
              </w:rPr>
              <w:t>能对银行账户使用与管理</w:t>
            </w:r>
          </w:p>
        </w:tc>
      </w:tr>
      <w:tr w14:paraId="751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806" w:type="dxa"/>
            <w:vMerge w:val="continue"/>
            <w:tcBorders>
              <w:top w:val="nil"/>
              <w:left w:val="single" w:color="auto" w:sz="4" w:space="0"/>
              <w:bottom w:val="single" w:color="auto" w:sz="4" w:space="0"/>
              <w:right w:val="single" w:color="auto" w:sz="4" w:space="0"/>
            </w:tcBorders>
            <w:vAlign w:val="center"/>
          </w:tcPr>
          <w:p w14:paraId="39C3A85E">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6BCE6A0E">
            <w:pPr>
              <w:pStyle w:val="180"/>
              <w:widowControl/>
              <w:rPr>
                <w:kern w:val="0"/>
                <w:sz w:val="21"/>
                <w:szCs w:val="21"/>
              </w:rPr>
            </w:pPr>
            <w:r>
              <w:rPr>
                <w:rFonts w:ascii="宋体" w:hAnsi="宋体"/>
                <w:kern w:val="0"/>
                <w:sz w:val="21"/>
                <w:szCs w:val="21"/>
              </w:rPr>
              <w:t>库存现金的收付与保管</w:t>
            </w:r>
          </w:p>
        </w:tc>
        <w:tc>
          <w:tcPr>
            <w:tcW w:w="3881" w:type="dxa"/>
            <w:tcBorders>
              <w:top w:val="single" w:color="auto" w:sz="4" w:space="0"/>
              <w:left w:val="nil"/>
              <w:bottom w:val="single" w:color="auto" w:sz="4" w:space="0"/>
              <w:right w:val="single" w:color="auto" w:sz="4" w:space="0"/>
            </w:tcBorders>
            <w:vAlign w:val="center"/>
          </w:tcPr>
          <w:p w14:paraId="537EEFB8">
            <w:pPr>
              <w:pStyle w:val="180"/>
              <w:widowControl/>
              <w:rPr>
                <w:kern w:val="0"/>
                <w:sz w:val="21"/>
                <w:szCs w:val="21"/>
              </w:rPr>
            </w:pPr>
            <w:r>
              <w:rPr>
                <w:rFonts w:ascii="宋体" w:hAnsi="宋体"/>
                <w:kern w:val="0"/>
                <w:sz w:val="21"/>
                <w:szCs w:val="21"/>
              </w:rPr>
              <w:t>能对现金进行日常收付和保管</w:t>
            </w:r>
          </w:p>
        </w:tc>
      </w:tr>
      <w:tr w14:paraId="08C7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06" w:type="dxa"/>
            <w:vMerge w:val="continue"/>
            <w:tcBorders>
              <w:top w:val="nil"/>
              <w:left w:val="single" w:color="auto" w:sz="4" w:space="0"/>
              <w:bottom w:val="single" w:color="auto" w:sz="4" w:space="0"/>
              <w:right w:val="single" w:color="auto" w:sz="4" w:space="0"/>
            </w:tcBorders>
            <w:vAlign w:val="center"/>
          </w:tcPr>
          <w:p w14:paraId="358DBE63">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333F5B16">
            <w:pPr>
              <w:pStyle w:val="180"/>
              <w:widowControl/>
              <w:rPr>
                <w:kern w:val="0"/>
                <w:sz w:val="21"/>
                <w:szCs w:val="21"/>
              </w:rPr>
            </w:pPr>
            <w:r>
              <w:rPr>
                <w:rFonts w:ascii="宋体" w:hAnsi="宋体"/>
                <w:kern w:val="0"/>
                <w:sz w:val="21"/>
                <w:szCs w:val="21"/>
              </w:rPr>
              <w:t>银行结算业务的办理</w:t>
            </w:r>
          </w:p>
        </w:tc>
        <w:tc>
          <w:tcPr>
            <w:tcW w:w="3881" w:type="dxa"/>
            <w:tcBorders>
              <w:top w:val="single" w:color="auto" w:sz="4" w:space="0"/>
              <w:left w:val="nil"/>
              <w:bottom w:val="single" w:color="auto" w:sz="4" w:space="0"/>
              <w:right w:val="single" w:color="auto" w:sz="4" w:space="0"/>
            </w:tcBorders>
            <w:vAlign w:val="center"/>
          </w:tcPr>
          <w:p w14:paraId="09DFE46C">
            <w:pPr>
              <w:pStyle w:val="180"/>
              <w:widowControl/>
              <w:rPr>
                <w:kern w:val="0"/>
                <w:sz w:val="21"/>
                <w:szCs w:val="21"/>
              </w:rPr>
            </w:pPr>
            <w:r>
              <w:rPr>
                <w:kern w:val="0"/>
                <w:sz w:val="21"/>
                <w:szCs w:val="21"/>
              </w:rPr>
              <w:t>1.</w:t>
            </w:r>
            <w:r>
              <w:rPr>
                <w:rFonts w:ascii="宋体" w:hAnsi="宋体"/>
                <w:kern w:val="0"/>
                <w:sz w:val="21"/>
                <w:szCs w:val="21"/>
              </w:rPr>
              <w:t>能对汇票、本票和支票进行转账结算</w:t>
            </w:r>
          </w:p>
          <w:p w14:paraId="5484C79C">
            <w:pPr>
              <w:pStyle w:val="180"/>
              <w:widowControl/>
              <w:rPr>
                <w:kern w:val="0"/>
                <w:sz w:val="21"/>
                <w:szCs w:val="21"/>
              </w:rPr>
            </w:pPr>
            <w:r>
              <w:rPr>
                <w:kern w:val="0"/>
                <w:sz w:val="21"/>
                <w:szCs w:val="21"/>
              </w:rPr>
              <w:t>2.</w:t>
            </w:r>
            <w:r>
              <w:rPr>
                <w:rFonts w:ascii="宋体" w:hAnsi="宋体"/>
                <w:kern w:val="0"/>
                <w:sz w:val="21"/>
                <w:szCs w:val="21"/>
              </w:rPr>
              <w:t>能对其他结算方式进行办理</w:t>
            </w:r>
          </w:p>
        </w:tc>
      </w:tr>
      <w:tr w14:paraId="03F0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06" w:type="dxa"/>
            <w:vMerge w:val="continue"/>
            <w:tcBorders>
              <w:top w:val="nil"/>
              <w:left w:val="single" w:color="auto" w:sz="4" w:space="0"/>
              <w:bottom w:val="single" w:color="auto" w:sz="4" w:space="0"/>
              <w:right w:val="single" w:color="auto" w:sz="4" w:space="0"/>
            </w:tcBorders>
            <w:vAlign w:val="center"/>
          </w:tcPr>
          <w:p w14:paraId="22FB2037">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798290A4">
            <w:pPr>
              <w:pStyle w:val="180"/>
              <w:widowControl/>
              <w:rPr>
                <w:kern w:val="0"/>
                <w:sz w:val="21"/>
                <w:szCs w:val="21"/>
              </w:rPr>
            </w:pPr>
            <w:r>
              <w:rPr>
                <w:rFonts w:ascii="宋体" w:hAnsi="宋体"/>
                <w:kern w:val="0"/>
                <w:sz w:val="21"/>
                <w:szCs w:val="21"/>
              </w:rPr>
              <w:t>现金、银行存款日记账的登记</w:t>
            </w:r>
          </w:p>
        </w:tc>
        <w:tc>
          <w:tcPr>
            <w:tcW w:w="3881" w:type="dxa"/>
            <w:tcBorders>
              <w:top w:val="single" w:color="auto" w:sz="4" w:space="0"/>
              <w:left w:val="nil"/>
              <w:bottom w:val="single" w:color="auto" w:sz="4" w:space="0"/>
              <w:right w:val="single" w:color="auto" w:sz="4" w:space="0"/>
            </w:tcBorders>
            <w:vAlign w:val="center"/>
          </w:tcPr>
          <w:p w14:paraId="0A81DBE0">
            <w:pPr>
              <w:pStyle w:val="180"/>
              <w:widowControl/>
              <w:rPr>
                <w:kern w:val="0"/>
                <w:sz w:val="21"/>
                <w:szCs w:val="21"/>
              </w:rPr>
            </w:pPr>
            <w:r>
              <w:rPr>
                <w:kern w:val="0"/>
                <w:sz w:val="21"/>
                <w:szCs w:val="21"/>
              </w:rPr>
              <w:t>1.</w:t>
            </w:r>
            <w:r>
              <w:rPr>
                <w:rFonts w:ascii="宋体" w:hAnsi="宋体"/>
                <w:kern w:val="0"/>
                <w:sz w:val="21"/>
                <w:szCs w:val="21"/>
              </w:rPr>
              <w:t>能登记现金日记账</w:t>
            </w:r>
          </w:p>
          <w:p w14:paraId="275606FE">
            <w:pPr>
              <w:pStyle w:val="180"/>
              <w:widowControl/>
              <w:rPr>
                <w:kern w:val="0"/>
                <w:sz w:val="21"/>
                <w:szCs w:val="21"/>
              </w:rPr>
            </w:pPr>
            <w:r>
              <w:rPr>
                <w:kern w:val="0"/>
                <w:sz w:val="21"/>
                <w:szCs w:val="21"/>
              </w:rPr>
              <w:t>2.</w:t>
            </w:r>
            <w:r>
              <w:rPr>
                <w:rFonts w:ascii="宋体" w:hAnsi="宋体"/>
                <w:kern w:val="0"/>
                <w:sz w:val="21"/>
                <w:szCs w:val="21"/>
              </w:rPr>
              <w:t>能登记银行存款日记账</w:t>
            </w:r>
          </w:p>
        </w:tc>
      </w:tr>
      <w:tr w14:paraId="2BC0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806" w:type="dxa"/>
            <w:vMerge w:val="restart"/>
            <w:tcBorders>
              <w:top w:val="nil"/>
              <w:left w:val="single" w:color="auto" w:sz="4" w:space="0"/>
              <w:bottom w:val="single" w:color="auto" w:sz="4" w:space="0"/>
              <w:right w:val="single" w:color="auto" w:sz="4" w:space="0"/>
            </w:tcBorders>
            <w:vAlign w:val="center"/>
          </w:tcPr>
          <w:p w14:paraId="1A9FB421">
            <w:pPr>
              <w:pStyle w:val="180"/>
              <w:widowControl/>
              <w:rPr>
                <w:kern w:val="0"/>
                <w:sz w:val="21"/>
                <w:szCs w:val="21"/>
              </w:rPr>
            </w:pPr>
            <w:r>
              <w:rPr>
                <w:rFonts w:ascii="宋体" w:hAnsi="宋体"/>
                <w:sz w:val="21"/>
                <w:szCs w:val="21"/>
              </w:rPr>
              <w:t>会计核算与成本计算</w:t>
            </w:r>
          </w:p>
        </w:tc>
        <w:tc>
          <w:tcPr>
            <w:tcW w:w="3210" w:type="dxa"/>
            <w:tcBorders>
              <w:top w:val="single" w:color="auto" w:sz="4" w:space="0"/>
              <w:left w:val="nil"/>
              <w:bottom w:val="single" w:color="auto" w:sz="4" w:space="0"/>
              <w:right w:val="single" w:color="auto" w:sz="4" w:space="0"/>
            </w:tcBorders>
            <w:vAlign w:val="center"/>
          </w:tcPr>
          <w:p w14:paraId="4AFB2B5E">
            <w:pPr>
              <w:pStyle w:val="180"/>
              <w:widowControl/>
              <w:rPr>
                <w:kern w:val="0"/>
                <w:sz w:val="21"/>
                <w:szCs w:val="21"/>
              </w:rPr>
            </w:pPr>
            <w:r>
              <w:rPr>
                <w:rFonts w:ascii="宋体" w:hAnsi="宋体"/>
                <w:sz w:val="21"/>
                <w:szCs w:val="21"/>
              </w:rPr>
              <w:t>企业经营环境、采用的会计政策和账务处理流程认知</w:t>
            </w:r>
          </w:p>
        </w:tc>
        <w:tc>
          <w:tcPr>
            <w:tcW w:w="3881" w:type="dxa"/>
            <w:tcBorders>
              <w:top w:val="single" w:color="auto" w:sz="4" w:space="0"/>
              <w:left w:val="nil"/>
              <w:bottom w:val="single" w:color="auto" w:sz="4" w:space="0"/>
              <w:right w:val="single" w:color="auto" w:sz="4" w:space="0"/>
            </w:tcBorders>
            <w:vAlign w:val="center"/>
          </w:tcPr>
          <w:p w14:paraId="6C4800F0">
            <w:pPr>
              <w:pStyle w:val="180"/>
              <w:widowControl/>
              <w:rPr>
                <w:kern w:val="0"/>
                <w:sz w:val="21"/>
                <w:szCs w:val="21"/>
              </w:rPr>
            </w:pPr>
            <w:r>
              <w:rPr>
                <w:kern w:val="0"/>
                <w:sz w:val="21"/>
                <w:szCs w:val="21"/>
              </w:rPr>
              <w:t>1.</w:t>
            </w:r>
            <w:r>
              <w:rPr>
                <w:rFonts w:ascii="宋体" w:hAnsi="宋体"/>
                <w:kern w:val="0"/>
                <w:sz w:val="21"/>
                <w:szCs w:val="21"/>
              </w:rPr>
              <w:t>能熟悉企业经营环境</w:t>
            </w:r>
          </w:p>
          <w:p w14:paraId="093BA29B">
            <w:pPr>
              <w:pStyle w:val="180"/>
              <w:widowControl/>
              <w:rPr>
                <w:kern w:val="0"/>
                <w:sz w:val="21"/>
                <w:szCs w:val="21"/>
              </w:rPr>
            </w:pPr>
            <w:r>
              <w:rPr>
                <w:kern w:val="0"/>
                <w:sz w:val="21"/>
                <w:szCs w:val="21"/>
              </w:rPr>
              <w:t>2.</w:t>
            </w:r>
            <w:r>
              <w:rPr>
                <w:rFonts w:ascii="宋体" w:hAnsi="宋体"/>
                <w:kern w:val="0"/>
                <w:sz w:val="21"/>
                <w:szCs w:val="21"/>
              </w:rPr>
              <w:t>能熟悉当前会计政策和账务处理流程</w:t>
            </w:r>
          </w:p>
        </w:tc>
      </w:tr>
      <w:tr w14:paraId="534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806" w:type="dxa"/>
            <w:vMerge w:val="continue"/>
            <w:tcBorders>
              <w:top w:val="nil"/>
              <w:left w:val="single" w:color="auto" w:sz="4" w:space="0"/>
              <w:bottom w:val="single" w:color="auto" w:sz="4" w:space="0"/>
              <w:right w:val="single" w:color="auto" w:sz="4" w:space="0"/>
            </w:tcBorders>
            <w:vAlign w:val="center"/>
          </w:tcPr>
          <w:p w14:paraId="6263A3C3">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0BB05C86">
            <w:pPr>
              <w:pStyle w:val="180"/>
              <w:widowControl/>
              <w:rPr>
                <w:kern w:val="0"/>
                <w:sz w:val="21"/>
                <w:szCs w:val="21"/>
              </w:rPr>
            </w:pPr>
            <w:r>
              <w:rPr>
                <w:rFonts w:ascii="宋体" w:hAnsi="宋体"/>
                <w:sz w:val="21"/>
                <w:szCs w:val="21"/>
              </w:rPr>
              <w:t>日常经济业务原始凭证识别、填制和审核、记账凭证的填制和审核、会计账簿的登记</w:t>
            </w:r>
          </w:p>
        </w:tc>
        <w:tc>
          <w:tcPr>
            <w:tcW w:w="3881" w:type="dxa"/>
            <w:tcBorders>
              <w:top w:val="single" w:color="auto" w:sz="4" w:space="0"/>
              <w:left w:val="nil"/>
              <w:bottom w:val="single" w:color="auto" w:sz="4" w:space="0"/>
              <w:right w:val="single" w:color="auto" w:sz="4" w:space="0"/>
            </w:tcBorders>
            <w:vAlign w:val="center"/>
          </w:tcPr>
          <w:p w14:paraId="71DAC6BC">
            <w:pPr>
              <w:pStyle w:val="180"/>
              <w:widowControl/>
              <w:rPr>
                <w:kern w:val="0"/>
                <w:sz w:val="21"/>
                <w:szCs w:val="21"/>
              </w:rPr>
            </w:pPr>
            <w:r>
              <w:rPr>
                <w:kern w:val="0"/>
                <w:sz w:val="21"/>
                <w:szCs w:val="21"/>
              </w:rPr>
              <w:t>1.</w:t>
            </w:r>
            <w:r>
              <w:rPr>
                <w:rFonts w:ascii="宋体" w:hAnsi="宋体"/>
                <w:kern w:val="0"/>
                <w:sz w:val="21"/>
                <w:szCs w:val="21"/>
              </w:rPr>
              <w:t>能认识原始凭证和原始凭证汇总表</w:t>
            </w:r>
          </w:p>
          <w:p w14:paraId="6E030B60">
            <w:pPr>
              <w:pStyle w:val="180"/>
              <w:widowControl/>
              <w:rPr>
                <w:kern w:val="0"/>
                <w:sz w:val="21"/>
                <w:szCs w:val="21"/>
              </w:rPr>
            </w:pPr>
            <w:r>
              <w:rPr>
                <w:kern w:val="0"/>
                <w:sz w:val="21"/>
                <w:szCs w:val="21"/>
              </w:rPr>
              <w:t>2.</w:t>
            </w:r>
            <w:r>
              <w:rPr>
                <w:rFonts w:ascii="宋体" w:hAnsi="宋体"/>
                <w:kern w:val="0"/>
                <w:sz w:val="21"/>
                <w:szCs w:val="21"/>
              </w:rPr>
              <w:t>能填制和审核记账凭证</w:t>
            </w:r>
          </w:p>
          <w:p w14:paraId="1AF972AD">
            <w:pPr>
              <w:pStyle w:val="180"/>
              <w:widowControl/>
              <w:rPr>
                <w:kern w:val="0"/>
                <w:sz w:val="21"/>
                <w:szCs w:val="21"/>
              </w:rPr>
            </w:pPr>
            <w:r>
              <w:rPr>
                <w:kern w:val="0"/>
                <w:sz w:val="21"/>
                <w:szCs w:val="21"/>
              </w:rPr>
              <w:t>3.</w:t>
            </w:r>
            <w:r>
              <w:rPr>
                <w:rFonts w:ascii="宋体" w:hAnsi="宋体"/>
                <w:kern w:val="0"/>
                <w:sz w:val="21"/>
                <w:szCs w:val="21"/>
              </w:rPr>
              <w:t>能登记各种明细账和总账</w:t>
            </w:r>
          </w:p>
        </w:tc>
      </w:tr>
      <w:tr w14:paraId="60E2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1806" w:type="dxa"/>
            <w:vMerge w:val="continue"/>
            <w:tcBorders>
              <w:top w:val="nil"/>
              <w:left w:val="single" w:color="auto" w:sz="4" w:space="0"/>
              <w:bottom w:val="single" w:color="auto" w:sz="4" w:space="0"/>
              <w:right w:val="single" w:color="auto" w:sz="4" w:space="0"/>
            </w:tcBorders>
            <w:vAlign w:val="center"/>
          </w:tcPr>
          <w:p w14:paraId="36B2BCF4">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34C1A5E1">
            <w:pPr>
              <w:pStyle w:val="180"/>
              <w:widowControl/>
              <w:rPr>
                <w:kern w:val="0"/>
                <w:sz w:val="21"/>
                <w:szCs w:val="21"/>
              </w:rPr>
            </w:pPr>
            <w:r>
              <w:rPr>
                <w:rFonts w:ascii="宋体" w:hAnsi="宋体"/>
                <w:sz w:val="21"/>
                <w:szCs w:val="21"/>
              </w:rPr>
              <w:t>编制成本费用计划，进行要素费用的归集与分配，计算产品成本，编制成本费用报表，进行成本分析</w:t>
            </w:r>
          </w:p>
        </w:tc>
        <w:tc>
          <w:tcPr>
            <w:tcW w:w="3881" w:type="dxa"/>
            <w:tcBorders>
              <w:top w:val="single" w:color="auto" w:sz="4" w:space="0"/>
              <w:left w:val="nil"/>
              <w:bottom w:val="single" w:color="auto" w:sz="4" w:space="0"/>
              <w:right w:val="single" w:color="auto" w:sz="4" w:space="0"/>
            </w:tcBorders>
            <w:vAlign w:val="center"/>
          </w:tcPr>
          <w:p w14:paraId="3FA96FBF">
            <w:pPr>
              <w:pStyle w:val="180"/>
              <w:widowControl/>
              <w:rPr>
                <w:kern w:val="0"/>
                <w:sz w:val="21"/>
                <w:szCs w:val="21"/>
              </w:rPr>
            </w:pPr>
            <w:r>
              <w:rPr>
                <w:kern w:val="0"/>
                <w:sz w:val="21"/>
                <w:szCs w:val="21"/>
              </w:rPr>
              <w:t>1.</w:t>
            </w:r>
            <w:r>
              <w:rPr>
                <w:rFonts w:ascii="宋体" w:hAnsi="宋体"/>
                <w:kern w:val="0"/>
                <w:sz w:val="21"/>
                <w:szCs w:val="21"/>
              </w:rPr>
              <w:t>能编制成本费用计划表</w:t>
            </w:r>
          </w:p>
          <w:p w14:paraId="73927414">
            <w:pPr>
              <w:pStyle w:val="180"/>
              <w:widowControl/>
              <w:rPr>
                <w:kern w:val="0"/>
                <w:sz w:val="21"/>
                <w:szCs w:val="21"/>
              </w:rPr>
            </w:pPr>
            <w:r>
              <w:rPr>
                <w:kern w:val="0"/>
                <w:sz w:val="21"/>
                <w:szCs w:val="21"/>
              </w:rPr>
              <w:t>2.</w:t>
            </w:r>
            <w:r>
              <w:rPr>
                <w:rFonts w:ascii="宋体" w:hAnsi="宋体"/>
                <w:kern w:val="0"/>
                <w:sz w:val="21"/>
                <w:szCs w:val="21"/>
              </w:rPr>
              <w:t>能对要素费用进行归集和分配</w:t>
            </w:r>
          </w:p>
          <w:p w14:paraId="51DD518E">
            <w:pPr>
              <w:pStyle w:val="180"/>
              <w:widowControl/>
              <w:rPr>
                <w:kern w:val="0"/>
                <w:sz w:val="21"/>
                <w:szCs w:val="21"/>
              </w:rPr>
            </w:pPr>
            <w:r>
              <w:rPr>
                <w:kern w:val="0"/>
                <w:sz w:val="21"/>
                <w:szCs w:val="21"/>
              </w:rPr>
              <w:t>3.</w:t>
            </w:r>
            <w:r>
              <w:rPr>
                <w:rFonts w:ascii="宋体" w:hAnsi="宋体"/>
                <w:kern w:val="0"/>
                <w:sz w:val="21"/>
                <w:szCs w:val="21"/>
              </w:rPr>
              <w:t>能熟练计算产品成本</w:t>
            </w:r>
          </w:p>
          <w:p w14:paraId="138728B1">
            <w:pPr>
              <w:pStyle w:val="180"/>
              <w:widowControl/>
              <w:rPr>
                <w:kern w:val="0"/>
                <w:sz w:val="21"/>
                <w:szCs w:val="21"/>
              </w:rPr>
            </w:pPr>
            <w:r>
              <w:rPr>
                <w:kern w:val="0"/>
                <w:sz w:val="21"/>
                <w:szCs w:val="21"/>
              </w:rPr>
              <w:t>4.</w:t>
            </w:r>
            <w:r>
              <w:rPr>
                <w:rFonts w:ascii="宋体" w:hAnsi="宋体"/>
                <w:kern w:val="0"/>
                <w:sz w:val="21"/>
                <w:szCs w:val="21"/>
              </w:rPr>
              <w:t>能编制成本费用报表</w:t>
            </w:r>
          </w:p>
          <w:p w14:paraId="659729ED">
            <w:pPr>
              <w:pStyle w:val="180"/>
              <w:widowControl/>
              <w:rPr>
                <w:kern w:val="0"/>
                <w:sz w:val="21"/>
                <w:szCs w:val="21"/>
              </w:rPr>
            </w:pPr>
            <w:r>
              <w:rPr>
                <w:kern w:val="0"/>
                <w:sz w:val="21"/>
                <w:szCs w:val="21"/>
              </w:rPr>
              <w:t>5.</w:t>
            </w:r>
            <w:r>
              <w:rPr>
                <w:rFonts w:ascii="宋体" w:hAnsi="宋体"/>
                <w:kern w:val="0"/>
                <w:sz w:val="21"/>
                <w:szCs w:val="21"/>
              </w:rPr>
              <w:t>能进行成本分析</w:t>
            </w:r>
          </w:p>
        </w:tc>
      </w:tr>
      <w:tr w14:paraId="2AC0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806" w:type="dxa"/>
            <w:vMerge w:val="continue"/>
            <w:tcBorders>
              <w:top w:val="nil"/>
              <w:left w:val="single" w:color="auto" w:sz="4" w:space="0"/>
              <w:bottom w:val="single" w:color="auto" w:sz="4" w:space="0"/>
              <w:right w:val="single" w:color="auto" w:sz="4" w:space="0"/>
            </w:tcBorders>
            <w:vAlign w:val="center"/>
          </w:tcPr>
          <w:p w14:paraId="29F2F189">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5090AC40">
            <w:pPr>
              <w:pStyle w:val="180"/>
              <w:widowControl/>
              <w:rPr>
                <w:kern w:val="0"/>
                <w:sz w:val="21"/>
                <w:szCs w:val="21"/>
              </w:rPr>
            </w:pPr>
            <w:r>
              <w:rPr>
                <w:rFonts w:ascii="宋体" w:hAnsi="宋体"/>
                <w:sz w:val="21"/>
                <w:szCs w:val="21"/>
              </w:rPr>
              <w:t>会计报表的编制</w:t>
            </w:r>
          </w:p>
        </w:tc>
        <w:tc>
          <w:tcPr>
            <w:tcW w:w="3881" w:type="dxa"/>
            <w:tcBorders>
              <w:top w:val="single" w:color="auto" w:sz="4" w:space="0"/>
              <w:left w:val="nil"/>
              <w:bottom w:val="single" w:color="auto" w:sz="4" w:space="0"/>
              <w:right w:val="single" w:color="auto" w:sz="4" w:space="0"/>
            </w:tcBorders>
            <w:vAlign w:val="center"/>
          </w:tcPr>
          <w:p w14:paraId="0E813225">
            <w:pPr>
              <w:pStyle w:val="180"/>
              <w:widowControl/>
              <w:rPr>
                <w:kern w:val="0"/>
                <w:sz w:val="21"/>
                <w:szCs w:val="21"/>
              </w:rPr>
            </w:pPr>
            <w:r>
              <w:rPr>
                <w:kern w:val="0"/>
                <w:sz w:val="21"/>
                <w:szCs w:val="21"/>
              </w:rPr>
              <w:t>1.</w:t>
            </w:r>
            <w:r>
              <w:rPr>
                <w:rFonts w:ascii="宋体" w:hAnsi="宋体"/>
                <w:kern w:val="0"/>
                <w:sz w:val="21"/>
                <w:szCs w:val="21"/>
              </w:rPr>
              <w:t>能编制资产负债表</w:t>
            </w:r>
          </w:p>
          <w:p w14:paraId="03AF968C">
            <w:pPr>
              <w:pStyle w:val="180"/>
              <w:widowControl/>
              <w:rPr>
                <w:kern w:val="0"/>
                <w:sz w:val="21"/>
                <w:szCs w:val="21"/>
              </w:rPr>
            </w:pPr>
            <w:r>
              <w:rPr>
                <w:kern w:val="0"/>
                <w:sz w:val="21"/>
                <w:szCs w:val="21"/>
              </w:rPr>
              <w:t>2.</w:t>
            </w:r>
            <w:r>
              <w:rPr>
                <w:rFonts w:ascii="宋体" w:hAnsi="宋体"/>
                <w:kern w:val="0"/>
                <w:sz w:val="21"/>
                <w:szCs w:val="21"/>
              </w:rPr>
              <w:t>能编制利润表</w:t>
            </w:r>
          </w:p>
        </w:tc>
      </w:tr>
      <w:tr w14:paraId="13EF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806" w:type="dxa"/>
            <w:tcBorders>
              <w:top w:val="nil"/>
              <w:left w:val="single" w:color="auto" w:sz="4" w:space="0"/>
              <w:bottom w:val="single" w:color="auto" w:sz="4" w:space="0"/>
              <w:right w:val="single" w:color="auto" w:sz="4" w:space="0"/>
            </w:tcBorders>
            <w:vAlign w:val="center"/>
          </w:tcPr>
          <w:p w14:paraId="7E767167">
            <w:pPr>
              <w:widowControl/>
              <w:jc w:val="left"/>
              <w:rPr>
                <w:rFonts w:ascii="Times New Roman" w:hAnsi="Times New Roman"/>
                <w:kern w:val="0"/>
              </w:rPr>
            </w:pPr>
            <w:r>
              <w:rPr>
                <w:rFonts w:hint="eastAsia" w:ascii="仿宋_GB2312" w:hAnsi="仿宋_GB2312" w:eastAsia="仿宋_GB2312" w:cs="仿宋_GB2312"/>
                <w:kern w:val="0"/>
                <w:sz w:val="22"/>
              </w:rPr>
              <w:t>税务会计等会计岗位</w:t>
            </w:r>
          </w:p>
        </w:tc>
        <w:tc>
          <w:tcPr>
            <w:tcW w:w="3210" w:type="dxa"/>
            <w:tcBorders>
              <w:top w:val="single" w:color="auto" w:sz="4" w:space="0"/>
              <w:left w:val="nil"/>
              <w:bottom w:val="single" w:color="auto" w:sz="4" w:space="0"/>
              <w:right w:val="single" w:color="auto" w:sz="4" w:space="0"/>
            </w:tcBorders>
            <w:vAlign w:val="center"/>
          </w:tcPr>
          <w:p w14:paraId="7A515166">
            <w:pPr>
              <w:pStyle w:val="180"/>
              <w:widowControl/>
              <w:rPr>
                <w:rFonts w:ascii="宋体" w:hAnsi="宋体"/>
                <w:sz w:val="21"/>
                <w:szCs w:val="21"/>
              </w:rPr>
            </w:pPr>
            <w:r>
              <w:rPr>
                <w:rFonts w:hint="eastAsia" w:ascii="仿宋_GB2312" w:hAnsi="仿宋_GB2312" w:eastAsia="仿宋_GB2312" w:cs="仿宋_GB2312"/>
                <w:color w:val="000000" w:themeColor="text1"/>
                <w:sz w:val="22"/>
                <w14:textFill>
                  <w14:solidFill>
                    <w14:schemeClr w14:val="tx1"/>
                  </w14:solidFill>
                </w14:textFill>
              </w:rPr>
              <w:t>税务登记及变更、发票的开具及纳税申报</w:t>
            </w:r>
          </w:p>
        </w:tc>
        <w:tc>
          <w:tcPr>
            <w:tcW w:w="3881" w:type="dxa"/>
            <w:tcBorders>
              <w:top w:val="single" w:color="auto" w:sz="4" w:space="0"/>
              <w:left w:val="nil"/>
              <w:bottom w:val="single" w:color="auto" w:sz="4" w:space="0"/>
              <w:right w:val="single" w:color="auto" w:sz="4" w:space="0"/>
            </w:tcBorders>
            <w:vAlign w:val="center"/>
          </w:tcPr>
          <w:p w14:paraId="5B2E7330">
            <w:pPr>
              <w:numPr>
                <w:ilvl w:val="0"/>
                <w:numId w:val="3"/>
              </w:numPr>
              <w:spacing w:line="400" w:lineRule="exact"/>
              <w:jc w:val="left"/>
              <w:rPr>
                <w:rFonts w:hint="eastAsia"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能利用电脑或防伪税控系统准确开具增值税专用发票、普通发票、红字发票等各种发票；</w:t>
            </w:r>
          </w:p>
          <w:p w14:paraId="1C925B9B">
            <w:pPr>
              <w:pStyle w:val="2"/>
              <w:numPr>
                <w:ilvl w:val="0"/>
                <w:numId w:val="3"/>
              </w:numPr>
              <w:ind w:left="0" w:leftChars="0" w:firstLine="0" w:firstLineChars="0"/>
              <w:rPr>
                <w:rFonts w:hint="eastAsia"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能正确填写税务登记表或变更登记表；</w:t>
            </w:r>
          </w:p>
          <w:p w14:paraId="064251B6">
            <w:pPr>
              <w:pStyle w:val="2"/>
              <w:numPr>
                <w:ilvl w:val="0"/>
                <w:numId w:val="0"/>
              </w:numPr>
              <w:ind w:leftChars="0"/>
              <w:rPr>
                <w:rFonts w:hint="eastAsia"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cs="仿宋_GB2312"/>
                <w:color w:val="000000" w:themeColor="text1"/>
                <w:sz w:val="22"/>
                <w:lang w:val="en-US" w:eastAsia="zh-CN"/>
                <w14:textFill>
                  <w14:solidFill>
                    <w14:schemeClr w14:val="tx1"/>
                  </w14:solidFill>
                </w14:textFill>
              </w:rPr>
              <w:t>3.</w:t>
            </w:r>
            <w:r>
              <w:rPr>
                <w:rFonts w:hint="eastAsia" w:ascii="仿宋_GB2312" w:hAnsi="仿宋_GB2312" w:eastAsia="仿宋_GB2312" w:cs="仿宋_GB2312"/>
                <w:color w:val="000000" w:themeColor="text1"/>
                <w:sz w:val="22"/>
                <w14:textFill>
                  <w14:solidFill>
                    <w14:schemeClr w14:val="tx1"/>
                  </w14:solidFill>
                </w14:textFill>
              </w:rPr>
              <w:t>能按税法规定完成流转税、所得税、其他税种的激素按并进行纳税申报。</w:t>
            </w:r>
          </w:p>
        </w:tc>
      </w:tr>
      <w:tr w14:paraId="3A5B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806" w:type="dxa"/>
            <w:vMerge w:val="restart"/>
            <w:tcBorders>
              <w:top w:val="nil"/>
              <w:left w:val="single" w:color="auto" w:sz="4" w:space="0"/>
              <w:bottom w:val="single" w:color="auto" w:sz="4" w:space="0"/>
              <w:right w:val="single" w:color="auto" w:sz="4" w:space="0"/>
            </w:tcBorders>
            <w:vAlign w:val="center"/>
          </w:tcPr>
          <w:p w14:paraId="2E61EA68">
            <w:pPr>
              <w:pStyle w:val="180"/>
              <w:widowControl/>
              <w:rPr>
                <w:kern w:val="0"/>
                <w:sz w:val="21"/>
                <w:szCs w:val="21"/>
              </w:rPr>
            </w:pPr>
            <w:r>
              <w:rPr>
                <w:rFonts w:ascii="宋体" w:hAnsi="宋体"/>
                <w:kern w:val="0"/>
                <w:sz w:val="21"/>
                <w:szCs w:val="21"/>
              </w:rPr>
              <w:t>电算化应用</w:t>
            </w:r>
          </w:p>
        </w:tc>
        <w:tc>
          <w:tcPr>
            <w:tcW w:w="3210" w:type="dxa"/>
            <w:tcBorders>
              <w:top w:val="single" w:color="auto" w:sz="4" w:space="0"/>
              <w:left w:val="nil"/>
              <w:bottom w:val="single" w:color="auto" w:sz="4" w:space="0"/>
              <w:right w:val="single" w:color="auto" w:sz="4" w:space="0"/>
            </w:tcBorders>
            <w:vAlign w:val="center"/>
          </w:tcPr>
          <w:p w14:paraId="6EFDC1DF">
            <w:pPr>
              <w:pStyle w:val="180"/>
              <w:widowControl/>
              <w:rPr>
                <w:kern w:val="0"/>
                <w:sz w:val="21"/>
                <w:szCs w:val="21"/>
              </w:rPr>
            </w:pPr>
            <w:r>
              <w:rPr>
                <w:rFonts w:ascii="宋体" w:hAnsi="宋体"/>
                <w:sz w:val="21"/>
                <w:szCs w:val="21"/>
              </w:rPr>
              <w:t>掌握所使用的会计软件的功能和操作方法，掌握全部会计科目编码、经费项目编码和与本单位有关的业务编码及其编制方法</w:t>
            </w:r>
          </w:p>
        </w:tc>
        <w:tc>
          <w:tcPr>
            <w:tcW w:w="3881" w:type="dxa"/>
            <w:tcBorders>
              <w:top w:val="single" w:color="auto" w:sz="4" w:space="0"/>
              <w:left w:val="nil"/>
              <w:bottom w:val="single" w:color="auto" w:sz="4" w:space="0"/>
              <w:right w:val="single" w:color="auto" w:sz="4" w:space="0"/>
            </w:tcBorders>
            <w:vAlign w:val="center"/>
          </w:tcPr>
          <w:p w14:paraId="3600D167">
            <w:pPr>
              <w:pStyle w:val="180"/>
              <w:widowControl/>
              <w:numPr>
                <w:ilvl w:val="0"/>
                <w:numId w:val="4"/>
              </w:numPr>
              <w:rPr>
                <w:kern w:val="0"/>
                <w:sz w:val="21"/>
                <w:szCs w:val="21"/>
              </w:rPr>
            </w:pPr>
            <w:r>
              <w:rPr>
                <w:rFonts w:ascii="宋体" w:hAnsi="宋体"/>
                <w:kern w:val="0"/>
                <w:sz w:val="21"/>
                <w:szCs w:val="21"/>
              </w:rPr>
              <w:t>能熟悉会计软件的功能和操作流程</w:t>
            </w:r>
          </w:p>
          <w:p w14:paraId="6D1CD133">
            <w:pPr>
              <w:pStyle w:val="180"/>
              <w:widowControl/>
              <w:numPr>
                <w:ilvl w:val="0"/>
                <w:numId w:val="4"/>
              </w:numPr>
              <w:rPr>
                <w:kern w:val="0"/>
                <w:sz w:val="21"/>
                <w:szCs w:val="21"/>
              </w:rPr>
            </w:pPr>
            <w:r>
              <w:rPr>
                <w:rFonts w:ascii="宋体" w:hAnsi="宋体"/>
                <w:kern w:val="0"/>
                <w:sz w:val="21"/>
                <w:szCs w:val="21"/>
              </w:rPr>
              <w:t>能掌握会计科目及其他有关的业务编码</w:t>
            </w:r>
          </w:p>
        </w:tc>
      </w:tr>
      <w:tr w14:paraId="3700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806" w:type="dxa"/>
            <w:vMerge w:val="continue"/>
            <w:tcBorders>
              <w:top w:val="nil"/>
              <w:left w:val="single" w:color="auto" w:sz="4" w:space="0"/>
              <w:bottom w:val="single" w:color="auto" w:sz="4" w:space="0"/>
              <w:right w:val="single" w:color="auto" w:sz="4" w:space="0"/>
            </w:tcBorders>
            <w:vAlign w:val="center"/>
          </w:tcPr>
          <w:p w14:paraId="51E27173">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1CEB6D46">
            <w:pPr>
              <w:pStyle w:val="180"/>
              <w:widowControl/>
              <w:rPr>
                <w:kern w:val="0"/>
                <w:sz w:val="21"/>
                <w:szCs w:val="21"/>
              </w:rPr>
            </w:pPr>
            <w:r>
              <w:rPr>
                <w:rFonts w:ascii="宋体" w:hAnsi="宋体"/>
                <w:sz w:val="21"/>
                <w:szCs w:val="21"/>
              </w:rPr>
              <w:t>执行系统管理员给定的操作权限，不得擅自越权操作</w:t>
            </w:r>
          </w:p>
        </w:tc>
        <w:tc>
          <w:tcPr>
            <w:tcW w:w="3881" w:type="dxa"/>
            <w:tcBorders>
              <w:top w:val="single" w:color="auto" w:sz="4" w:space="0"/>
              <w:left w:val="nil"/>
              <w:bottom w:val="single" w:color="auto" w:sz="4" w:space="0"/>
              <w:right w:val="single" w:color="auto" w:sz="4" w:space="0"/>
            </w:tcBorders>
            <w:vAlign w:val="center"/>
          </w:tcPr>
          <w:p w14:paraId="3E4CBBFA">
            <w:pPr>
              <w:pStyle w:val="180"/>
              <w:widowControl/>
              <w:rPr>
                <w:kern w:val="0"/>
                <w:sz w:val="21"/>
                <w:szCs w:val="21"/>
              </w:rPr>
            </w:pPr>
            <w:r>
              <w:rPr>
                <w:kern w:val="0"/>
                <w:sz w:val="21"/>
                <w:szCs w:val="21"/>
              </w:rPr>
              <w:t>1.</w:t>
            </w:r>
            <w:r>
              <w:rPr>
                <w:rFonts w:ascii="宋体" w:hAnsi="宋体"/>
                <w:kern w:val="0"/>
                <w:sz w:val="21"/>
                <w:szCs w:val="21"/>
              </w:rPr>
              <w:t>熟悉操作员和操作员权限的操作方法</w:t>
            </w:r>
          </w:p>
          <w:p w14:paraId="2D4AC4B2">
            <w:pPr>
              <w:pStyle w:val="180"/>
              <w:widowControl/>
              <w:rPr>
                <w:kern w:val="0"/>
                <w:sz w:val="21"/>
                <w:szCs w:val="21"/>
              </w:rPr>
            </w:pPr>
            <w:r>
              <w:rPr>
                <w:kern w:val="0"/>
                <w:sz w:val="21"/>
                <w:szCs w:val="21"/>
              </w:rPr>
              <w:t>2.</w:t>
            </w:r>
            <w:r>
              <w:rPr>
                <w:rFonts w:ascii="宋体" w:hAnsi="宋体"/>
                <w:kern w:val="0"/>
                <w:sz w:val="21"/>
                <w:szCs w:val="21"/>
              </w:rPr>
              <w:t>明确不同的操作员之间权限的划分</w:t>
            </w:r>
          </w:p>
        </w:tc>
      </w:tr>
      <w:tr w14:paraId="6430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806" w:type="dxa"/>
            <w:vMerge w:val="continue"/>
            <w:tcBorders>
              <w:top w:val="nil"/>
              <w:left w:val="single" w:color="auto" w:sz="4" w:space="0"/>
              <w:bottom w:val="single" w:color="auto" w:sz="4" w:space="0"/>
              <w:right w:val="single" w:color="auto" w:sz="4" w:space="0"/>
            </w:tcBorders>
            <w:vAlign w:val="center"/>
          </w:tcPr>
          <w:p w14:paraId="66D5346A">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186E1472">
            <w:pPr>
              <w:pStyle w:val="180"/>
              <w:widowControl/>
              <w:rPr>
                <w:kern w:val="0"/>
                <w:sz w:val="21"/>
                <w:szCs w:val="21"/>
              </w:rPr>
            </w:pPr>
            <w:r>
              <w:rPr>
                <w:rFonts w:ascii="宋体" w:hAnsi="宋体"/>
                <w:sz w:val="21"/>
                <w:szCs w:val="21"/>
              </w:rPr>
              <w:t>根据审核无误的原始凭证和其他会计资料，负责完成数据的输入工作</w:t>
            </w:r>
          </w:p>
        </w:tc>
        <w:tc>
          <w:tcPr>
            <w:tcW w:w="3881" w:type="dxa"/>
            <w:tcBorders>
              <w:top w:val="single" w:color="auto" w:sz="4" w:space="0"/>
              <w:left w:val="nil"/>
              <w:bottom w:val="single" w:color="auto" w:sz="4" w:space="0"/>
              <w:right w:val="single" w:color="auto" w:sz="4" w:space="0"/>
            </w:tcBorders>
            <w:vAlign w:val="center"/>
          </w:tcPr>
          <w:p w14:paraId="4263550A">
            <w:pPr>
              <w:pStyle w:val="180"/>
              <w:widowControl/>
              <w:rPr>
                <w:kern w:val="0"/>
                <w:sz w:val="21"/>
                <w:szCs w:val="21"/>
              </w:rPr>
            </w:pPr>
            <w:r>
              <w:rPr>
                <w:rFonts w:ascii="宋体" w:hAnsi="宋体"/>
                <w:kern w:val="0"/>
                <w:sz w:val="21"/>
                <w:szCs w:val="21"/>
              </w:rPr>
              <w:t>熟练掌握会计软件的操作流程，能利用会计资料，熟练进行数据的输入，保证输出数据如账簿、会计报表等的正确性</w:t>
            </w:r>
          </w:p>
        </w:tc>
      </w:tr>
      <w:tr w14:paraId="19E1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806" w:type="dxa"/>
            <w:vMerge w:val="continue"/>
            <w:tcBorders>
              <w:top w:val="nil"/>
              <w:left w:val="single" w:color="auto" w:sz="4" w:space="0"/>
              <w:bottom w:val="single" w:color="auto" w:sz="4" w:space="0"/>
              <w:right w:val="single" w:color="auto" w:sz="4" w:space="0"/>
            </w:tcBorders>
            <w:vAlign w:val="center"/>
          </w:tcPr>
          <w:p w14:paraId="2DA5FDEA">
            <w:pPr>
              <w:widowControl/>
              <w:jc w:val="left"/>
              <w:rPr>
                <w:rFonts w:ascii="Times New Roman" w:hAnsi="Times New Roman"/>
                <w:kern w:val="0"/>
              </w:rPr>
            </w:pPr>
          </w:p>
        </w:tc>
        <w:tc>
          <w:tcPr>
            <w:tcW w:w="3210" w:type="dxa"/>
            <w:tcBorders>
              <w:top w:val="single" w:color="auto" w:sz="4" w:space="0"/>
              <w:left w:val="nil"/>
              <w:bottom w:val="single" w:color="auto" w:sz="4" w:space="0"/>
              <w:right w:val="single" w:color="auto" w:sz="4" w:space="0"/>
            </w:tcBorders>
            <w:vAlign w:val="center"/>
          </w:tcPr>
          <w:p w14:paraId="25675BE1">
            <w:pPr>
              <w:pStyle w:val="180"/>
              <w:widowControl/>
              <w:rPr>
                <w:kern w:val="0"/>
                <w:sz w:val="21"/>
                <w:szCs w:val="21"/>
              </w:rPr>
            </w:pPr>
            <w:r>
              <w:rPr>
                <w:rFonts w:ascii="宋体" w:hAnsi="宋体"/>
                <w:sz w:val="21"/>
                <w:szCs w:val="21"/>
              </w:rPr>
              <w:t>按照会计制度规定，全面负责财务报告（月报、季报、年报等）的编制工作；做好财务会计报告数据的备份工作，确保会计数据的安全、完整无缺</w:t>
            </w:r>
          </w:p>
        </w:tc>
        <w:tc>
          <w:tcPr>
            <w:tcW w:w="3881" w:type="dxa"/>
            <w:tcBorders>
              <w:top w:val="single" w:color="auto" w:sz="4" w:space="0"/>
              <w:left w:val="nil"/>
              <w:bottom w:val="single" w:color="auto" w:sz="4" w:space="0"/>
              <w:right w:val="single" w:color="auto" w:sz="4" w:space="0"/>
            </w:tcBorders>
            <w:vAlign w:val="center"/>
          </w:tcPr>
          <w:p w14:paraId="3BD3B07C">
            <w:pPr>
              <w:pStyle w:val="180"/>
              <w:widowControl/>
              <w:rPr>
                <w:kern w:val="0"/>
                <w:sz w:val="21"/>
                <w:szCs w:val="21"/>
              </w:rPr>
            </w:pPr>
            <w:r>
              <w:rPr>
                <w:kern w:val="0"/>
                <w:sz w:val="21"/>
                <w:szCs w:val="21"/>
              </w:rPr>
              <w:t>1.</w:t>
            </w:r>
            <w:r>
              <w:rPr>
                <w:rFonts w:ascii="宋体" w:hAnsi="宋体"/>
                <w:kern w:val="0"/>
                <w:sz w:val="21"/>
                <w:szCs w:val="21"/>
              </w:rPr>
              <w:t>能根据输入的会计资料输出资产负债表和利润表</w:t>
            </w:r>
          </w:p>
          <w:p w14:paraId="41139C31">
            <w:pPr>
              <w:pStyle w:val="180"/>
              <w:widowControl/>
              <w:rPr>
                <w:kern w:val="0"/>
                <w:sz w:val="21"/>
                <w:szCs w:val="21"/>
              </w:rPr>
            </w:pPr>
            <w:r>
              <w:rPr>
                <w:kern w:val="0"/>
                <w:sz w:val="21"/>
                <w:szCs w:val="21"/>
              </w:rPr>
              <w:t>2.</w:t>
            </w:r>
            <w:r>
              <w:rPr>
                <w:rFonts w:ascii="宋体" w:hAnsi="宋体"/>
                <w:kern w:val="0"/>
                <w:sz w:val="21"/>
                <w:szCs w:val="21"/>
              </w:rPr>
              <w:t>能进行会计数据的备份</w:t>
            </w:r>
          </w:p>
          <w:p w14:paraId="0B1D39EB">
            <w:pPr>
              <w:pStyle w:val="180"/>
              <w:widowControl/>
              <w:rPr>
                <w:kern w:val="0"/>
                <w:sz w:val="21"/>
                <w:szCs w:val="21"/>
              </w:rPr>
            </w:pPr>
            <w:r>
              <w:rPr>
                <w:kern w:val="0"/>
                <w:sz w:val="21"/>
                <w:szCs w:val="21"/>
              </w:rPr>
              <w:t>3.</w:t>
            </w:r>
            <w:r>
              <w:rPr>
                <w:rFonts w:ascii="宋体" w:hAnsi="宋体"/>
                <w:kern w:val="0"/>
                <w:sz w:val="21"/>
                <w:szCs w:val="21"/>
              </w:rPr>
              <w:t>能保证会计数据的安全，防止会计数据的丢失</w:t>
            </w:r>
          </w:p>
        </w:tc>
      </w:tr>
    </w:tbl>
    <w:p w14:paraId="55377FA3">
      <w:pPr>
        <w:widowControl/>
        <w:jc w:val="left"/>
        <w:rPr>
          <w:rFonts w:ascii="黑体" w:hAnsi="黑体" w:eastAsia="黑体"/>
          <w:sz w:val="24"/>
          <w:szCs w:val="24"/>
        </w:rPr>
      </w:pPr>
      <w:r>
        <w:rPr>
          <w:rFonts w:ascii="Times New Roman" w:hAnsi="Times New Roman" w:eastAsia="仿宋_GB2312"/>
          <w:sz w:val="24"/>
          <w:szCs w:val="24"/>
        </w:rPr>
        <w:br w:type="page"/>
      </w:r>
    </w:p>
    <w:p w14:paraId="7BE70783">
      <w:pPr>
        <w:spacing w:line="360" w:lineRule="auto"/>
        <w:ind w:firstLine="480" w:firstLineChars="200"/>
        <w:outlineLvl w:val="0"/>
        <w:rPr>
          <w:rFonts w:ascii="黑体" w:hAnsi="黑体" w:eastAsia="黑体"/>
          <w:sz w:val="24"/>
          <w:szCs w:val="24"/>
        </w:rPr>
      </w:pPr>
      <w:bookmarkStart w:id="129" w:name="_Toc14458"/>
      <w:r>
        <w:rPr>
          <w:rFonts w:hint="eastAsia" w:ascii="黑体" w:hAnsi="黑体" w:eastAsia="黑体"/>
          <w:sz w:val="24"/>
          <w:szCs w:val="24"/>
        </w:rPr>
        <w:t>附件：</w:t>
      </w:r>
      <w:r>
        <w:rPr>
          <w:rFonts w:hint="eastAsia" w:ascii="黑体" w:hAnsi="黑体" w:eastAsia="黑体"/>
          <w:sz w:val="24"/>
          <w:szCs w:val="24"/>
          <w:lang w:val="en-US" w:eastAsia="zh-CN"/>
        </w:rPr>
        <w:t>4</w:t>
      </w:r>
      <w:r>
        <w:rPr>
          <w:rFonts w:hint="eastAsia" w:ascii="黑体" w:hAnsi="黑体" w:eastAsia="黑体"/>
          <w:sz w:val="24"/>
          <w:szCs w:val="24"/>
        </w:rPr>
        <w:t>.课程标准</w:t>
      </w:r>
      <w:bookmarkEnd w:id="129"/>
    </w:p>
    <w:p w14:paraId="2DA9EEB7">
      <w:pPr>
        <w:pStyle w:val="17"/>
        <w:spacing w:before="156" w:beforeLines="50" w:after="156" w:afterLines="50"/>
        <w:ind w:firstLine="600"/>
        <w:jc w:val="center"/>
        <w:outlineLvl w:val="2"/>
        <w:rPr>
          <w:rFonts w:ascii="黑体" w:hAnsi="黑体" w:eastAsia="黑体" w:cs="黑体"/>
          <w:sz w:val="30"/>
          <w:szCs w:val="30"/>
        </w:rPr>
      </w:pPr>
      <w:bookmarkStart w:id="130" w:name="_Toc15934"/>
      <w:bookmarkStart w:id="131" w:name="_Toc13195"/>
      <w:bookmarkStart w:id="132" w:name="_Toc26631"/>
      <w:bookmarkStart w:id="133" w:name="_Toc23374"/>
      <w:bookmarkStart w:id="134" w:name="_Toc13012"/>
      <w:bookmarkStart w:id="135" w:name="_Toc28592"/>
      <w:bookmarkStart w:id="136" w:name="_Toc21764"/>
      <w:r>
        <w:rPr>
          <w:rFonts w:hint="eastAsia" w:ascii="黑体" w:hAnsi="黑体" w:eastAsia="黑体" w:cs="黑体"/>
          <w:sz w:val="30"/>
          <w:szCs w:val="30"/>
        </w:rPr>
        <w:t>会计基础课程标准</w:t>
      </w:r>
      <w:bookmarkEnd w:id="130"/>
      <w:bookmarkEnd w:id="131"/>
      <w:bookmarkEnd w:id="132"/>
      <w:bookmarkEnd w:id="133"/>
      <w:bookmarkEnd w:id="134"/>
      <w:bookmarkEnd w:id="135"/>
      <w:bookmarkEnd w:id="136"/>
    </w:p>
    <w:p w14:paraId="2BFF8641">
      <w:pPr>
        <w:pStyle w:val="17"/>
        <w:spacing w:after="0" w:line="400" w:lineRule="exact"/>
        <w:ind w:firstLine="560" w:firstLineChars="200"/>
        <w:rPr>
          <w:rFonts w:ascii="楷体_GB2312" w:eastAsia="楷体_GB2312"/>
          <w:sz w:val="28"/>
          <w:szCs w:val="28"/>
        </w:rPr>
      </w:pPr>
    </w:p>
    <w:p w14:paraId="208C6B9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一</w:t>
      </w:r>
      <w:r>
        <w:rPr>
          <w:rFonts w:hint="eastAsia" w:ascii="楷体_GB2312" w:eastAsia="楷体_GB2312"/>
          <w:sz w:val="24"/>
          <w:szCs w:val="24"/>
          <w:lang w:eastAsia="zh-CN"/>
        </w:rPr>
        <w:t>）</w:t>
      </w:r>
      <w:r>
        <w:rPr>
          <w:rFonts w:hint="eastAsia" w:ascii="楷体_GB2312" w:eastAsia="楷体_GB2312"/>
          <w:sz w:val="24"/>
          <w:szCs w:val="24"/>
        </w:rPr>
        <w:t>课程性质与任务</w:t>
      </w:r>
    </w:p>
    <w:p w14:paraId="45ECA21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是会计专业针对会计岗位（群）职业能力培养设置的专业基础课程，课程培养对象是会计职业初学者。通过对会计职业最基本的职业活动和工作过程的介绍和技能训练，使学生初步了解会计工作的环境和职业道德，认识会计工作的一般流程，理解会计要素、会计等式和复式记账法的基本原理，熟练掌握填制和审核凭证、登记账簿和编制会计报表。使学生具备学习后续专业课程的专业基础能力，同时注重培养学生的社会能力和方法能力。</w:t>
      </w:r>
    </w:p>
    <w:p w14:paraId="7C1CFD04">
      <w:pPr>
        <w:pStyle w:val="17"/>
        <w:spacing w:after="0" w:line="400" w:lineRule="exact"/>
        <w:ind w:firstLine="480" w:firstLineChars="200"/>
        <w:rPr>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二</w:t>
      </w:r>
      <w:r>
        <w:rPr>
          <w:rFonts w:hint="eastAsia" w:ascii="楷体_GB2312" w:eastAsia="楷体_GB2312"/>
          <w:sz w:val="24"/>
          <w:szCs w:val="24"/>
          <w:lang w:eastAsia="zh-CN"/>
        </w:rPr>
        <w:t>）</w:t>
      </w:r>
      <w:r>
        <w:rPr>
          <w:rFonts w:hint="eastAsia" w:ascii="楷体_GB2312" w:eastAsia="楷体_GB2312"/>
          <w:sz w:val="24"/>
          <w:szCs w:val="24"/>
        </w:rPr>
        <w:t>课程教学目标</w:t>
      </w:r>
    </w:p>
    <w:p w14:paraId="51F1FCA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val="en-US" w:eastAsia="zh-CN"/>
        </w:rPr>
        <w:t>1.</w:t>
      </w:r>
      <w:r>
        <w:rPr>
          <w:rFonts w:ascii="仿宋_GB2312" w:hAnsi="Times New Roman" w:eastAsia="仿宋_GB2312" w:cs="Times New Roman"/>
          <w:sz w:val="24"/>
          <w:szCs w:val="24"/>
        </w:rPr>
        <w:t>素质目标</w:t>
      </w:r>
    </w:p>
    <w:p w14:paraId="75D48B1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1</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具有较强的语言表达、会计职业沟通和团队合作能力；</w:t>
      </w:r>
    </w:p>
    <w:p w14:paraId="300A08FD">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2</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能严格公正地执行财经纪律；</w:t>
      </w:r>
    </w:p>
    <w:p w14:paraId="79F8823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具有良好的心理素质、诚信品质和社会责任感；</w:t>
      </w:r>
    </w:p>
    <w:p w14:paraId="05E9F58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具有踏实肯干的工作作风和主动、热情、耐心的服务意识；</w:t>
      </w:r>
    </w:p>
    <w:p w14:paraId="3FB1652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根据学习目标，独立开展社会调查能力。</w:t>
      </w:r>
    </w:p>
    <w:p w14:paraId="719F795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val="en-US" w:eastAsia="zh-CN"/>
        </w:rPr>
        <w:t>2.</w:t>
      </w:r>
      <w:r>
        <w:rPr>
          <w:rFonts w:hint="eastAsia" w:ascii="仿宋_GB2312" w:eastAsia="仿宋_GB2312" w:cs="仿宋_GB2312"/>
          <w:sz w:val="24"/>
          <w:szCs w:val="24"/>
        </w:rPr>
        <w:t>知识目标</w:t>
      </w:r>
    </w:p>
    <w:p w14:paraId="1A04549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（1）理解会计的概念、会计对象和资金运动过程；</w:t>
      </w:r>
    </w:p>
    <w:p w14:paraId="097BDFE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（2）掌握会计的职能与特征;</w:t>
      </w:r>
    </w:p>
    <w:p w14:paraId="59AEE67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（3）掌握会计要素的含义、特征、确认条件和分类；</w:t>
      </w:r>
    </w:p>
    <w:p w14:paraId="3C1BB5B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（4）掌握会计核算方法体系和会计信息的质量要求；</w:t>
      </w:r>
    </w:p>
    <w:p w14:paraId="5DF2F6F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（5）理解账户的概念、分类、功能和结构；理解会计科目与账户的关系。</w:t>
      </w:r>
    </w:p>
    <w:p w14:paraId="131A0E6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（6）掌握会计等式的表现形式以及经济业务的发生对基本会计等式的影响；</w:t>
      </w:r>
    </w:p>
    <w:p w14:paraId="4B1C03C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（7）理解复式记账法的概念和内容；理解借贷记账法的理论基础、记账符号；掌握借贷记账法的记账规则、会计分录和试算平衡；</w:t>
      </w:r>
    </w:p>
    <w:p w14:paraId="7003BE4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（8）掌握主要经济业务的核算。</w:t>
      </w:r>
    </w:p>
    <w:p w14:paraId="45F5EBB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（9）理解原始凭证与记账凭证的概念、种类和基本内容；</w:t>
      </w:r>
    </w:p>
    <w:p w14:paraId="339556D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（10）掌握原始凭证与记账凭证的填制要求和审核；</w:t>
      </w:r>
    </w:p>
    <w:p w14:paraId="49C86FC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（11）掌握会计账簿的登记要求；</w:t>
      </w:r>
    </w:p>
    <w:p w14:paraId="7751DC5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（12）掌握日记账、明细账与总账的设置和登记、关系和平行登记；</w:t>
      </w:r>
    </w:p>
    <w:p w14:paraId="2E35D43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（13）理解查找错账的方法；掌握错账的更正方法；</w:t>
      </w:r>
    </w:p>
    <w:p w14:paraId="4CFBC1C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（14）理解财产清查的概念、范围和种类；</w:t>
      </w:r>
    </w:p>
    <w:p w14:paraId="303318D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（15）掌握财产清查的方法和财产清查结果的处理。</w:t>
      </w:r>
    </w:p>
    <w:p w14:paraId="059269C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（16）掌握资产负债表和利润表的编制方法。</w:t>
      </w:r>
    </w:p>
    <w:p w14:paraId="27A00FA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（17）理解记账凭证、科目汇总表与汇总记账凭证账务处理程序的特点、优缺点和适用范围；</w:t>
      </w:r>
    </w:p>
    <w:p w14:paraId="39AE734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（18）掌握记账凭证、科目汇总表与汇总记账凭证账务处理程序的一般步骤及应用；</w:t>
      </w:r>
    </w:p>
    <w:p w14:paraId="1C9460E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rPr>
        <w:t>能力目标</w:t>
      </w:r>
    </w:p>
    <w:p w14:paraId="173B38C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1</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能具备从事会计工作最基本的基础知识、基本核算和监督能力；</w:t>
      </w:r>
    </w:p>
    <w:p w14:paraId="02E8BC1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2</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能具备会计职业就业能力和职业岗位（群）初步判断能力；</w:t>
      </w:r>
    </w:p>
    <w:p w14:paraId="6E8D52E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能独立完成从填制凭证、设置和登记账簿、编报会计报表的会计工作；</w:t>
      </w:r>
    </w:p>
    <w:p w14:paraId="66829F5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能严格执行财经法规，具备诚实守信的职业道德。</w:t>
      </w:r>
    </w:p>
    <w:p w14:paraId="27C93305">
      <w:pPr>
        <w:pStyle w:val="17"/>
        <w:spacing w:after="0" w:line="400" w:lineRule="exact"/>
        <w:ind w:firstLine="480" w:firstLineChars="200"/>
        <w:rPr>
          <w:rFonts w:hint="eastAsia" w:ascii="楷体_GB2312" w:eastAsia="楷体_GB2312"/>
          <w:sz w:val="24"/>
          <w:szCs w:val="24"/>
          <w:lang w:eastAsia="zh-CN"/>
        </w:rPr>
      </w:pPr>
      <w:r>
        <w:rPr>
          <w:rFonts w:hint="eastAsia" w:ascii="楷体_GB2312" w:eastAsia="楷体_GB2312"/>
          <w:sz w:val="24"/>
          <w:szCs w:val="24"/>
          <w:lang w:eastAsia="zh-CN"/>
        </w:rPr>
        <w:t>（</w:t>
      </w:r>
      <w:r>
        <w:rPr>
          <w:rFonts w:hint="eastAsia" w:ascii="楷体_GB2312" w:eastAsia="楷体_GB2312"/>
          <w:sz w:val="24"/>
          <w:szCs w:val="24"/>
          <w:lang w:val="en-US" w:eastAsia="zh-CN"/>
        </w:rPr>
        <w:t>三</w:t>
      </w:r>
      <w:r>
        <w:rPr>
          <w:rFonts w:hint="eastAsia" w:ascii="楷体_GB2312" w:eastAsia="楷体_GB2312"/>
          <w:sz w:val="24"/>
          <w:szCs w:val="24"/>
          <w:lang w:eastAsia="zh-CN"/>
        </w:rPr>
        <w:t>）参考学时</w:t>
      </w:r>
    </w:p>
    <w:p w14:paraId="6DA004C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72学时。</w:t>
      </w:r>
    </w:p>
    <w:p w14:paraId="202933CB">
      <w:pPr>
        <w:pStyle w:val="17"/>
        <w:spacing w:after="0" w:line="400" w:lineRule="exact"/>
        <w:ind w:firstLine="480" w:firstLineChars="200"/>
        <w:rPr>
          <w:rFonts w:hint="eastAsia" w:ascii="楷体_GB2312" w:eastAsia="楷体_GB2312"/>
          <w:sz w:val="24"/>
          <w:szCs w:val="24"/>
          <w:lang w:eastAsia="zh-CN"/>
        </w:rPr>
      </w:pPr>
      <w:r>
        <w:rPr>
          <w:rFonts w:hint="eastAsia" w:ascii="楷体_GB2312" w:eastAsia="楷体_GB2312"/>
          <w:sz w:val="24"/>
          <w:szCs w:val="24"/>
          <w:lang w:eastAsia="zh-CN"/>
        </w:rPr>
        <w:t>（四）课程学分</w:t>
      </w:r>
    </w:p>
    <w:p w14:paraId="71C8D13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4学分。</w:t>
      </w:r>
    </w:p>
    <w:p w14:paraId="24B774C7">
      <w:pPr>
        <w:pStyle w:val="17"/>
        <w:spacing w:after="0" w:line="400" w:lineRule="exact"/>
        <w:ind w:firstLine="480" w:firstLineChars="200"/>
        <w:rPr>
          <w:rFonts w:hint="eastAsia" w:ascii="楷体_GB2312" w:eastAsia="楷体_GB2312"/>
          <w:sz w:val="24"/>
          <w:szCs w:val="24"/>
          <w:lang w:eastAsia="zh-CN"/>
        </w:rPr>
      </w:pPr>
      <w:r>
        <w:rPr>
          <w:rFonts w:hint="eastAsia" w:ascii="楷体_GB2312" w:eastAsia="楷体_GB2312"/>
          <w:sz w:val="24"/>
          <w:szCs w:val="24"/>
          <w:lang w:eastAsia="zh-CN"/>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7C2C4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4062F92E">
            <w:pPr>
              <w:adjustRightInd w:val="0"/>
              <w:spacing w:line="360" w:lineRule="exact"/>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5738857E">
            <w:pPr>
              <w:adjustRightInd w:val="0"/>
              <w:spacing w:line="360" w:lineRule="exact"/>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3CD6B8EB">
            <w:pPr>
              <w:adjustRightInd w:val="0"/>
              <w:spacing w:line="360" w:lineRule="exact"/>
              <w:ind w:firstLine="482"/>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4F7BD0B4">
            <w:pPr>
              <w:adjustRightInd w:val="0"/>
              <w:spacing w:line="360" w:lineRule="exact"/>
              <w:ind w:firstLine="482"/>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08CC0A95">
            <w:pPr>
              <w:adjustRightInd w:val="0"/>
              <w:spacing w:line="360" w:lineRule="exact"/>
              <w:rPr>
                <w:rFonts w:asciiTheme="minorEastAsia" w:hAnsiTheme="minorEastAsia" w:cstheme="minorEastAsia"/>
                <w:b/>
              </w:rPr>
            </w:pPr>
            <w:r>
              <w:rPr>
                <w:rFonts w:hint="eastAsia" w:asciiTheme="minorEastAsia" w:hAnsiTheme="minorEastAsia" w:cstheme="minorEastAsia"/>
                <w:b/>
              </w:rPr>
              <w:t>参考</w:t>
            </w:r>
          </w:p>
          <w:p w14:paraId="39AEC246">
            <w:pPr>
              <w:adjustRightInd w:val="0"/>
              <w:spacing w:line="360" w:lineRule="exact"/>
              <w:rPr>
                <w:rFonts w:asciiTheme="minorEastAsia" w:hAnsiTheme="minorEastAsia" w:cstheme="minorEastAsia"/>
                <w:b/>
              </w:rPr>
            </w:pPr>
            <w:r>
              <w:rPr>
                <w:rFonts w:hint="eastAsia" w:asciiTheme="minorEastAsia" w:hAnsiTheme="minorEastAsia" w:cstheme="minorEastAsia"/>
                <w:b/>
              </w:rPr>
              <w:t>课时</w:t>
            </w:r>
          </w:p>
        </w:tc>
      </w:tr>
      <w:tr w14:paraId="3B309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6C1F223">
            <w:pPr>
              <w:adjustRightInd w:val="0"/>
              <w:spacing w:line="360" w:lineRule="exact"/>
              <w:jc w:val="center"/>
              <w:rPr>
                <w:rFonts w:asciiTheme="minorEastAsia" w:hAnsiTheme="minorEastAsia" w:cstheme="minorEastAsia"/>
              </w:rPr>
            </w:pPr>
            <w:r>
              <w:rPr>
                <w:rFonts w:hint="eastAsia"/>
              </w:rPr>
              <w:t>1</w:t>
            </w:r>
          </w:p>
        </w:tc>
        <w:tc>
          <w:tcPr>
            <w:tcW w:w="1089" w:type="dxa"/>
            <w:vAlign w:val="center"/>
          </w:tcPr>
          <w:p w14:paraId="45D9321C">
            <w:pPr>
              <w:adjustRightInd w:val="0"/>
              <w:spacing w:line="360" w:lineRule="exact"/>
              <w:rPr>
                <w:rFonts w:asciiTheme="minorEastAsia" w:hAnsiTheme="minorEastAsia" w:cstheme="minorEastAsia"/>
              </w:rPr>
            </w:pPr>
            <w:r>
              <w:rPr>
                <w:rFonts w:hint="eastAsia"/>
              </w:rPr>
              <w:t>会计基本理论</w:t>
            </w:r>
          </w:p>
        </w:tc>
        <w:tc>
          <w:tcPr>
            <w:tcW w:w="2880" w:type="dxa"/>
            <w:vAlign w:val="center"/>
          </w:tcPr>
          <w:p w14:paraId="288CA2E9">
            <w:r>
              <w:rPr>
                <w:rFonts w:hint="eastAsia"/>
              </w:rPr>
              <w:t>1.理解会计的概念、会计对象和资金运动过程；</w:t>
            </w:r>
          </w:p>
          <w:p w14:paraId="205C0898">
            <w:r>
              <w:rPr>
                <w:rFonts w:hint="eastAsia"/>
              </w:rPr>
              <w:t>2.理解会计基本假设和会计基础；理解会计要素的计量；</w:t>
            </w:r>
          </w:p>
          <w:p w14:paraId="1ACE7BA1">
            <w:r>
              <w:rPr>
                <w:rFonts w:hint="eastAsia"/>
              </w:rPr>
              <w:t>3.掌握会计的职能与特征；</w:t>
            </w:r>
          </w:p>
          <w:p w14:paraId="77D6A7EB">
            <w:r>
              <w:rPr>
                <w:rFonts w:hint="eastAsia"/>
              </w:rPr>
              <w:t>4.掌握会计要素的含义、特征、确认条件和分类；</w:t>
            </w:r>
          </w:p>
          <w:p w14:paraId="036DEBCC">
            <w:r>
              <w:rPr>
                <w:rFonts w:hint="eastAsia"/>
              </w:rPr>
              <w:t>5.掌握会计核算方法体系；</w:t>
            </w:r>
          </w:p>
          <w:p w14:paraId="6BB664F6">
            <w:pPr>
              <w:adjustRightInd w:val="0"/>
              <w:spacing w:line="360" w:lineRule="exact"/>
              <w:rPr>
                <w:rFonts w:asciiTheme="minorEastAsia" w:hAnsiTheme="minorEastAsia" w:cstheme="minorEastAsia"/>
              </w:rPr>
            </w:pPr>
            <w:r>
              <w:rPr>
                <w:rFonts w:hint="eastAsia"/>
              </w:rPr>
              <w:t>6.掌握会计信息的质量要求。</w:t>
            </w:r>
          </w:p>
        </w:tc>
        <w:tc>
          <w:tcPr>
            <w:tcW w:w="2682" w:type="dxa"/>
            <w:vAlign w:val="center"/>
          </w:tcPr>
          <w:p w14:paraId="2EC8F4AF">
            <w:r>
              <w:rPr>
                <w:rFonts w:hint="eastAsia"/>
              </w:rPr>
              <w:t>1.实地参观企业，增强对企业生产经营活动、会计岗位、会计职业的认识；</w:t>
            </w:r>
          </w:p>
          <w:p w14:paraId="7C7FAEC7">
            <w:r>
              <w:rPr>
                <w:rFonts w:hint="eastAsia"/>
              </w:rPr>
              <w:t>2.多媒体演示，了解企业生产经营流程和资金周转循环过程；</w:t>
            </w:r>
          </w:p>
          <w:p w14:paraId="74E3C717">
            <w:r>
              <w:rPr>
                <w:rFonts w:hint="eastAsia"/>
              </w:rPr>
              <w:t>3.通过实物或图片展示《中华人民共和国会计法》《会计基础工作规范》等资料，通过典型案例感受会计法律法规的重要性；</w:t>
            </w:r>
          </w:p>
          <w:p w14:paraId="27B2B2A1">
            <w:pPr>
              <w:spacing w:line="360" w:lineRule="exact"/>
              <w:rPr>
                <w:rFonts w:asciiTheme="minorEastAsia" w:hAnsiTheme="minorEastAsia" w:cstheme="minorEastAsia"/>
              </w:rPr>
            </w:pPr>
            <w:r>
              <w:rPr>
                <w:rFonts w:hint="eastAsia"/>
              </w:rPr>
              <w:t>4.</w:t>
            </w:r>
            <w:r>
              <w:rPr>
                <w:rFonts w:hint="eastAsia" w:cs="等线 Light"/>
              </w:rPr>
              <w:t>通过阐释会计的职能，传递职业价值，坚定尊重自我、尊重职业的立场。</w:t>
            </w:r>
          </w:p>
        </w:tc>
        <w:tc>
          <w:tcPr>
            <w:tcW w:w="724" w:type="dxa"/>
            <w:vAlign w:val="center"/>
          </w:tcPr>
          <w:p w14:paraId="4D2C5F82">
            <w:pPr>
              <w:adjustRightInd w:val="0"/>
              <w:spacing w:line="360" w:lineRule="exact"/>
              <w:jc w:val="center"/>
              <w:rPr>
                <w:rFonts w:asciiTheme="minorEastAsia" w:hAnsiTheme="minorEastAsia" w:cstheme="minorEastAsia"/>
              </w:rPr>
            </w:pPr>
            <w:r>
              <w:rPr>
                <w:rFonts w:hint="eastAsia"/>
              </w:rPr>
              <w:t>6</w:t>
            </w:r>
          </w:p>
        </w:tc>
      </w:tr>
      <w:tr w14:paraId="26D6E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6E03498">
            <w:pPr>
              <w:adjustRightInd w:val="0"/>
              <w:spacing w:line="360" w:lineRule="exact"/>
              <w:jc w:val="center"/>
              <w:rPr>
                <w:rFonts w:asciiTheme="minorEastAsia" w:hAnsiTheme="minorEastAsia" w:cstheme="minorEastAsia"/>
              </w:rPr>
            </w:pPr>
            <w:r>
              <w:rPr>
                <w:rFonts w:hint="eastAsia"/>
              </w:rPr>
              <w:t>2</w:t>
            </w:r>
          </w:p>
        </w:tc>
        <w:tc>
          <w:tcPr>
            <w:tcW w:w="1089" w:type="dxa"/>
            <w:vAlign w:val="center"/>
          </w:tcPr>
          <w:p w14:paraId="6E81AA22">
            <w:pPr>
              <w:adjustRightInd w:val="0"/>
              <w:spacing w:line="360" w:lineRule="exact"/>
              <w:rPr>
                <w:rFonts w:asciiTheme="minorEastAsia" w:hAnsiTheme="minorEastAsia" w:cstheme="minorEastAsia"/>
              </w:rPr>
            </w:pPr>
            <w:r>
              <w:rPr>
                <w:rFonts w:hint="eastAsia"/>
              </w:rPr>
              <w:t>会计科目和账户</w:t>
            </w:r>
          </w:p>
        </w:tc>
        <w:tc>
          <w:tcPr>
            <w:tcW w:w="2880" w:type="dxa"/>
            <w:vAlign w:val="center"/>
          </w:tcPr>
          <w:p w14:paraId="4D9291BA">
            <w:r>
              <w:rPr>
                <w:rFonts w:hint="eastAsia"/>
              </w:rPr>
              <w:t>1.理解会计科目的概念和分类；</w:t>
            </w:r>
          </w:p>
          <w:p w14:paraId="4AAC9AC2">
            <w:r>
              <w:rPr>
                <w:rFonts w:hint="eastAsia"/>
              </w:rPr>
              <w:t>2.理解账户的概念、分类、功能和结构；理解会计科目与账户的关系；</w:t>
            </w:r>
          </w:p>
          <w:p w14:paraId="26E30D03">
            <w:r>
              <w:rPr>
                <w:rFonts w:hint="eastAsia"/>
              </w:rPr>
              <w:t>3.理解会计科目的概念和分类；</w:t>
            </w:r>
          </w:p>
          <w:p w14:paraId="377166C7">
            <w:pPr>
              <w:adjustRightInd w:val="0"/>
              <w:spacing w:line="360" w:lineRule="exact"/>
              <w:rPr>
                <w:rFonts w:asciiTheme="minorEastAsia" w:hAnsiTheme="minorEastAsia" w:cstheme="minorEastAsia"/>
              </w:rPr>
            </w:pPr>
            <w:r>
              <w:rPr>
                <w:rFonts w:hint="eastAsia"/>
              </w:rPr>
              <w:t>4.理解账户的概念、分类、功能和结构；理解会计科目与账户的关系。</w:t>
            </w:r>
          </w:p>
        </w:tc>
        <w:tc>
          <w:tcPr>
            <w:tcW w:w="2682" w:type="dxa"/>
            <w:vAlign w:val="center"/>
          </w:tcPr>
          <w:p w14:paraId="593D729A">
            <w:r>
              <w:rPr>
                <w:rFonts w:hint="eastAsia"/>
              </w:rPr>
              <w:t>1.提供部分会计科目名称，指导学生识别并判断其属于哪一会计要素；判断业务发生导致企业资产与权益的增减变动及结果；</w:t>
            </w:r>
          </w:p>
          <w:p w14:paraId="4978A3FF">
            <w:r>
              <w:rPr>
                <w:rFonts w:hint="eastAsia"/>
              </w:rPr>
              <w:t>2.引导学生列示并理解会计科目与账户的异同点；</w:t>
            </w:r>
          </w:p>
          <w:p w14:paraId="59841AA4">
            <w:pPr>
              <w:spacing w:line="360" w:lineRule="exact"/>
              <w:rPr>
                <w:rFonts w:asciiTheme="minorEastAsia" w:hAnsiTheme="minorEastAsia" w:cstheme="minorEastAsia"/>
              </w:rPr>
            </w:pPr>
            <w:r>
              <w:rPr>
                <w:rFonts w:hint="eastAsia"/>
              </w:rPr>
              <w:t>3.</w:t>
            </w:r>
            <w:r>
              <w:rPr>
                <w:rFonts w:hint="eastAsia" w:cs="等线 Light"/>
              </w:rPr>
              <w:t>通过对会计科目分类，阐述分类即管理的思想。</w:t>
            </w:r>
          </w:p>
        </w:tc>
        <w:tc>
          <w:tcPr>
            <w:tcW w:w="724" w:type="dxa"/>
            <w:vAlign w:val="center"/>
          </w:tcPr>
          <w:p w14:paraId="19337610">
            <w:pPr>
              <w:adjustRightInd w:val="0"/>
              <w:spacing w:line="360" w:lineRule="exact"/>
              <w:jc w:val="center"/>
              <w:rPr>
                <w:rFonts w:asciiTheme="minorEastAsia" w:hAnsiTheme="minorEastAsia" w:cstheme="minorEastAsia"/>
              </w:rPr>
            </w:pPr>
            <w:r>
              <w:rPr>
                <w:rFonts w:hint="eastAsia"/>
              </w:rPr>
              <w:t>12</w:t>
            </w:r>
          </w:p>
        </w:tc>
      </w:tr>
      <w:tr w14:paraId="5F71C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7957619">
            <w:pPr>
              <w:adjustRightInd w:val="0"/>
              <w:spacing w:line="360" w:lineRule="exact"/>
              <w:jc w:val="center"/>
              <w:rPr>
                <w:rFonts w:asciiTheme="minorEastAsia" w:hAnsiTheme="minorEastAsia" w:cstheme="minorEastAsia"/>
              </w:rPr>
            </w:pPr>
            <w:r>
              <w:rPr>
                <w:rFonts w:hint="eastAsia"/>
              </w:rPr>
              <w:t>3</w:t>
            </w:r>
          </w:p>
        </w:tc>
        <w:tc>
          <w:tcPr>
            <w:tcW w:w="1089" w:type="dxa"/>
            <w:vAlign w:val="center"/>
          </w:tcPr>
          <w:p w14:paraId="1484B9A7">
            <w:pPr>
              <w:adjustRightInd w:val="0"/>
              <w:spacing w:line="360" w:lineRule="exact"/>
              <w:rPr>
                <w:rFonts w:asciiTheme="minorEastAsia" w:hAnsiTheme="minorEastAsia" w:cstheme="minorEastAsia"/>
              </w:rPr>
            </w:pPr>
            <w:r>
              <w:rPr>
                <w:rFonts w:hint="eastAsia"/>
              </w:rPr>
              <w:t>复式记账</w:t>
            </w:r>
          </w:p>
        </w:tc>
        <w:tc>
          <w:tcPr>
            <w:tcW w:w="2880" w:type="dxa"/>
            <w:vAlign w:val="center"/>
          </w:tcPr>
          <w:p w14:paraId="7660D2C0">
            <w:pPr>
              <w:widowControl/>
            </w:pPr>
            <w:r>
              <w:rPr>
                <w:rFonts w:hint="eastAsia"/>
              </w:rPr>
              <w:t>1.理解复式记账法的概念和内容；</w:t>
            </w:r>
          </w:p>
          <w:p w14:paraId="5F56C414">
            <w:pPr>
              <w:widowControl/>
            </w:pPr>
            <w:r>
              <w:rPr>
                <w:rFonts w:hint="eastAsia"/>
              </w:rPr>
              <w:t>2.理解借贷记账法的理论基础、记账符号和账户结构；</w:t>
            </w:r>
          </w:p>
          <w:p w14:paraId="32F5AC7C">
            <w:pPr>
              <w:widowControl/>
            </w:pPr>
            <w:r>
              <w:rPr>
                <w:rFonts w:hint="eastAsia"/>
              </w:rPr>
              <w:t>3.掌握会计等式的表现形式以及经济业务的发生对基本会计等式的影响；</w:t>
            </w:r>
          </w:p>
          <w:p w14:paraId="0CB92A2C">
            <w:pPr>
              <w:widowControl/>
            </w:pPr>
            <w:r>
              <w:rPr>
                <w:rFonts w:hint="eastAsia"/>
              </w:rPr>
              <w:t>4.掌握借贷记账法的记账规则、会计分录和试算平衡；</w:t>
            </w:r>
          </w:p>
          <w:p w14:paraId="7599A36F">
            <w:pPr>
              <w:adjustRightInd w:val="0"/>
              <w:spacing w:line="360" w:lineRule="exact"/>
              <w:rPr>
                <w:rFonts w:asciiTheme="minorEastAsia" w:hAnsiTheme="minorEastAsia" w:cstheme="minorEastAsia"/>
              </w:rPr>
            </w:pPr>
            <w:r>
              <w:rPr>
                <w:rFonts w:hint="eastAsia"/>
              </w:rPr>
              <w:t>5.掌握主要经济业务的核算。</w:t>
            </w:r>
          </w:p>
        </w:tc>
        <w:tc>
          <w:tcPr>
            <w:tcW w:w="2682" w:type="dxa"/>
            <w:vAlign w:val="center"/>
          </w:tcPr>
          <w:p w14:paraId="29207929">
            <w:pPr>
              <w:widowControl/>
            </w:pPr>
            <w:r>
              <w:rPr>
                <w:rFonts w:hint="eastAsia"/>
              </w:rPr>
              <w:t>1.通过多媒体课件，模拟演示总分类账户与明细分类账户的平行登记方法；</w:t>
            </w:r>
          </w:p>
          <w:p w14:paraId="2992B7E5">
            <w:pPr>
              <w:widowControl/>
            </w:pPr>
            <w:r>
              <w:rPr>
                <w:rFonts w:hint="eastAsia"/>
              </w:rPr>
              <w:t>2.提供综合业务资料，编制相应会计分录；</w:t>
            </w:r>
          </w:p>
          <w:p w14:paraId="1AA3DAE4">
            <w:pPr>
              <w:widowControl/>
            </w:pPr>
            <w:r>
              <w:rPr>
                <w:rFonts w:hint="eastAsia"/>
              </w:rPr>
              <w:t>3.企业实地参观，了解会计分录意义；</w:t>
            </w:r>
          </w:p>
          <w:p w14:paraId="02606E49">
            <w:pPr>
              <w:spacing w:line="360" w:lineRule="exact"/>
              <w:rPr>
                <w:rFonts w:asciiTheme="minorEastAsia" w:hAnsiTheme="minorEastAsia" w:cstheme="minorEastAsia"/>
              </w:rPr>
            </w:pPr>
            <w:r>
              <w:rPr>
                <w:rFonts w:hint="eastAsia"/>
              </w:rPr>
              <w:t>4.</w:t>
            </w:r>
            <w:r>
              <w:rPr>
                <w:rFonts w:hint="eastAsia" w:cs="等线 Light"/>
              </w:rPr>
              <w:t>概括筹集资金的方式，明确“聚小成多，积小致巨”的价值，养成乐于积累、巧于积累的习惯。</w:t>
            </w:r>
          </w:p>
        </w:tc>
        <w:tc>
          <w:tcPr>
            <w:tcW w:w="724" w:type="dxa"/>
            <w:vAlign w:val="center"/>
          </w:tcPr>
          <w:p w14:paraId="205C1F6B">
            <w:pPr>
              <w:adjustRightInd w:val="0"/>
              <w:spacing w:line="360" w:lineRule="exact"/>
              <w:jc w:val="center"/>
              <w:rPr>
                <w:rFonts w:asciiTheme="minorEastAsia" w:hAnsiTheme="minorEastAsia" w:cstheme="minorEastAsia"/>
              </w:rPr>
            </w:pPr>
            <w:r>
              <w:rPr>
                <w:rFonts w:hint="eastAsia"/>
              </w:rPr>
              <w:t>20</w:t>
            </w:r>
          </w:p>
        </w:tc>
      </w:tr>
      <w:tr w14:paraId="1FB01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EA56EC6">
            <w:pPr>
              <w:adjustRightInd w:val="0"/>
              <w:spacing w:line="360" w:lineRule="exact"/>
              <w:jc w:val="center"/>
              <w:rPr>
                <w:rFonts w:asciiTheme="minorEastAsia" w:hAnsiTheme="minorEastAsia" w:cstheme="minorEastAsia"/>
              </w:rPr>
            </w:pPr>
            <w:r>
              <w:rPr>
                <w:rFonts w:hint="eastAsia"/>
              </w:rPr>
              <w:t>4</w:t>
            </w:r>
          </w:p>
        </w:tc>
        <w:tc>
          <w:tcPr>
            <w:tcW w:w="1089" w:type="dxa"/>
            <w:vAlign w:val="center"/>
          </w:tcPr>
          <w:p w14:paraId="39AD639F">
            <w:pPr>
              <w:adjustRightInd w:val="0"/>
              <w:spacing w:line="360" w:lineRule="exact"/>
              <w:rPr>
                <w:rFonts w:asciiTheme="minorEastAsia" w:hAnsiTheme="minorEastAsia" w:cstheme="minorEastAsia"/>
              </w:rPr>
            </w:pPr>
            <w:r>
              <w:rPr>
                <w:rFonts w:hint="eastAsia"/>
              </w:rPr>
              <w:t>填会计凭证</w:t>
            </w:r>
          </w:p>
        </w:tc>
        <w:tc>
          <w:tcPr>
            <w:tcW w:w="2880" w:type="dxa"/>
            <w:vAlign w:val="center"/>
          </w:tcPr>
          <w:p w14:paraId="6ED955A0">
            <w:r>
              <w:rPr>
                <w:rFonts w:hint="eastAsia"/>
              </w:rPr>
              <w:t>1.了解会计凭证的概念和种类；</w:t>
            </w:r>
          </w:p>
          <w:p w14:paraId="56F381B0">
            <w:r>
              <w:rPr>
                <w:rFonts w:hint="eastAsia"/>
              </w:rPr>
              <w:t>2.理解原始凭证与记账凭证的概念和种类；</w:t>
            </w:r>
          </w:p>
          <w:p w14:paraId="340CECCB">
            <w:r>
              <w:rPr>
                <w:rFonts w:hint="eastAsia"/>
              </w:rPr>
              <w:t>3.掌握原始凭证和记账凭证的基本内容；</w:t>
            </w:r>
          </w:p>
          <w:p w14:paraId="52888301">
            <w:r>
              <w:rPr>
                <w:rFonts w:hint="eastAsia"/>
              </w:rPr>
              <w:t>4.掌握原始凭证与记账凭证的填制要求和审核；</w:t>
            </w:r>
          </w:p>
          <w:p w14:paraId="25EA0201">
            <w:pPr>
              <w:adjustRightInd w:val="0"/>
              <w:spacing w:line="360" w:lineRule="exact"/>
              <w:rPr>
                <w:rFonts w:asciiTheme="minorEastAsia" w:hAnsiTheme="minorEastAsia" w:cstheme="minorEastAsia"/>
              </w:rPr>
            </w:pPr>
            <w:r>
              <w:rPr>
                <w:rFonts w:hint="eastAsia"/>
              </w:rPr>
              <w:t>5.了解会计凭证的传递和保管。</w:t>
            </w:r>
          </w:p>
        </w:tc>
        <w:tc>
          <w:tcPr>
            <w:tcW w:w="2682" w:type="dxa"/>
            <w:vAlign w:val="center"/>
          </w:tcPr>
          <w:p w14:paraId="3443B4EA">
            <w:r>
              <w:rPr>
                <w:rFonts w:hint="eastAsia"/>
              </w:rPr>
              <w:t>1.搜集和演示大量原始凭证，审核无误后填制相应记账凭证；</w:t>
            </w:r>
          </w:p>
          <w:p w14:paraId="3E3C81A4">
            <w:r>
              <w:rPr>
                <w:rFonts w:hint="eastAsia"/>
              </w:rPr>
              <w:t>2.提供经济业务资料，指导学生自行判断、选取相应凭证进行相关处理；</w:t>
            </w:r>
          </w:p>
          <w:p w14:paraId="69604D9D">
            <w:r>
              <w:rPr>
                <w:rFonts w:hint="eastAsia"/>
              </w:rPr>
              <w:t>3.企业实地参观，进一步理解会计凭证的重要性；</w:t>
            </w:r>
          </w:p>
          <w:p w14:paraId="59E0FE7C">
            <w:pPr>
              <w:adjustRightInd w:val="0"/>
              <w:spacing w:line="360" w:lineRule="exact"/>
              <w:rPr>
                <w:rFonts w:asciiTheme="minorEastAsia" w:hAnsiTheme="minorEastAsia" w:cstheme="minorEastAsia"/>
              </w:rPr>
            </w:pPr>
            <w:r>
              <w:rPr>
                <w:rFonts w:hint="eastAsia"/>
              </w:rPr>
              <w:t>4.</w:t>
            </w:r>
            <w:r>
              <w:rPr>
                <w:rFonts w:hint="eastAsia" w:cs="等线 Light"/>
              </w:rPr>
              <w:t>了解审核记账凭证的要求，培养严谨细致的职业精神，做到处处细留心。</w:t>
            </w:r>
          </w:p>
        </w:tc>
        <w:tc>
          <w:tcPr>
            <w:tcW w:w="724" w:type="dxa"/>
            <w:vAlign w:val="center"/>
          </w:tcPr>
          <w:p w14:paraId="4FE39662">
            <w:pPr>
              <w:adjustRightInd w:val="0"/>
              <w:spacing w:line="360" w:lineRule="exact"/>
              <w:jc w:val="center"/>
              <w:rPr>
                <w:rFonts w:asciiTheme="minorEastAsia" w:hAnsiTheme="minorEastAsia" w:cstheme="minorEastAsia"/>
              </w:rPr>
            </w:pPr>
            <w:r>
              <w:rPr>
                <w:rFonts w:hint="eastAsia"/>
              </w:rPr>
              <w:t>12</w:t>
            </w:r>
          </w:p>
        </w:tc>
      </w:tr>
    </w:tbl>
    <w:p w14:paraId="705B592A">
      <w:pPr>
        <w:pStyle w:val="17"/>
        <w:spacing w:after="0" w:line="400" w:lineRule="exact"/>
        <w:ind w:firstLine="480" w:firstLineChars="200"/>
        <w:rPr>
          <w:rFonts w:hint="eastAsia" w:ascii="楷体_GB2312" w:eastAsia="楷体_GB2312"/>
          <w:sz w:val="24"/>
          <w:szCs w:val="24"/>
          <w:lang w:eastAsia="zh-CN"/>
        </w:rPr>
      </w:pPr>
      <w:r>
        <w:rPr>
          <w:rFonts w:hint="eastAsia" w:ascii="楷体_GB2312" w:eastAsia="楷体_GB2312"/>
          <w:sz w:val="24"/>
          <w:szCs w:val="24"/>
          <w:lang w:eastAsia="zh-CN"/>
        </w:rPr>
        <w:t>（六）实施建议</w:t>
      </w:r>
    </w:p>
    <w:p w14:paraId="27DA50C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1.教学方法</w:t>
      </w:r>
    </w:p>
    <w:p w14:paraId="1B36AE2D">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62E8078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49D75C3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任务驱动法中穿插了讲授法、案例分析法、分组讨论、头脑风暴法、角色扮演法等教学方法。</w:t>
      </w:r>
    </w:p>
    <w:p w14:paraId="56BB5D4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ascii="仿宋_GB2312" w:hAnsi="Times New Roman" w:eastAsia="仿宋_GB2312" w:cs="Times New Roman"/>
          <w:sz w:val="24"/>
          <w:szCs w:val="24"/>
        </w:rPr>
        <w:t>2</w:t>
      </w:r>
      <w:r>
        <w:rPr>
          <w:rFonts w:hint="eastAsia" w:ascii="仿宋_GB2312" w:hAnsi="Times New Roman" w:eastAsia="仿宋_GB2312" w:cs="Times New Roman"/>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31D4B4C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ascii="仿宋_GB2312" w:hAnsi="Times New Roman" w:eastAsia="仿宋_GB2312" w:cs="Times New Roman"/>
          <w:sz w:val="24"/>
          <w:szCs w:val="24"/>
        </w:rPr>
        <w:t>3</w:t>
      </w:r>
      <w:r>
        <w:rPr>
          <w:rFonts w:hint="eastAsia" w:ascii="仿宋_GB2312" w:hAnsi="Times New Roman" w:eastAsia="仿宋_GB2312" w:cs="Times New Roman"/>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2961714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2.评价方法</w:t>
      </w:r>
    </w:p>
    <w:p w14:paraId="0F4D337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w:t>
      </w:r>
    </w:p>
    <w:p w14:paraId="5BEFB86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课程成绩形成方式建议: 总评成绩= 平时成绩*30%+期中成绩*30%+期末成*40%。</w:t>
      </w:r>
    </w:p>
    <w:p w14:paraId="680010A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3.教学条件</w:t>
      </w:r>
    </w:p>
    <w:p w14:paraId="21E81B1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1.课堂教学条件</w:t>
      </w:r>
    </w:p>
    <w:p w14:paraId="7635663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校内有一支结构合理、素质优良、具有良好职业修养的“双师素质”教师队伍，校外有一批既具有丰富的会计实际工作经验，又具有一定理论基础的会计专家参与学习领域课程标准的制定。</w:t>
      </w:r>
    </w:p>
    <w:p w14:paraId="4257013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2.实训条件</w:t>
      </w:r>
    </w:p>
    <w:p w14:paraId="58327BB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配备企业业务仿真核算资料、会计实训操作模拟实训福斯特软件，可在机上进行无纸化操作。具有最新配置手工模拟实训室，有一定数量的紧密型工学结合的校外实训基地。</w:t>
      </w:r>
    </w:p>
    <w:p w14:paraId="6F62F7C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4.教材编选</w:t>
      </w:r>
    </w:p>
    <w:p w14:paraId="18CAC73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依据本课程标准编写教材，安排合理的必修和选修内容，教材内容应体现以就业为导向，以学生为本的原则，将知识与生活生产实际应用相结合。教学内容能够很好地反映基础会计的新颖性、科学性和实用性。注重教学改革成果。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6647ABC6">
      <w:pPr>
        <w:pStyle w:val="17"/>
        <w:spacing w:line="360" w:lineRule="auto"/>
        <w:jc w:val="center"/>
        <w:rPr>
          <w:rFonts w:hint="eastAsia" w:ascii="黑体" w:hAnsi="黑体" w:eastAsia="黑体"/>
          <w:sz w:val="24"/>
          <w:szCs w:val="24"/>
        </w:rPr>
      </w:pPr>
    </w:p>
    <w:p w14:paraId="7C3AF625">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10DD1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4F1E32C7">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185DCA9F">
            <w:pPr>
              <w:spacing w:line="360" w:lineRule="exact"/>
              <w:ind w:firstLine="450"/>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79DC37D0">
            <w:pPr>
              <w:spacing w:line="360" w:lineRule="exact"/>
              <w:ind w:firstLine="450"/>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35693CA3">
            <w:pPr>
              <w:spacing w:line="360" w:lineRule="exact"/>
              <w:ind w:firstLine="450"/>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6EAA6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212D5D91">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4D26F7AF">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会计基本理论</w:t>
            </w:r>
          </w:p>
        </w:tc>
        <w:tc>
          <w:tcPr>
            <w:tcW w:w="1980" w:type="dxa"/>
            <w:tcMar>
              <w:top w:w="0" w:type="dxa"/>
              <w:left w:w="108" w:type="dxa"/>
              <w:bottom w:w="0" w:type="dxa"/>
              <w:right w:w="108" w:type="dxa"/>
            </w:tcMar>
            <w:vAlign w:val="center"/>
          </w:tcPr>
          <w:p w14:paraId="6A34B3EC">
            <w:pPr>
              <w:pStyle w:val="178"/>
              <w:spacing w:line="360" w:lineRule="exact"/>
              <w:ind w:firstLine="44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4F4F0FEB">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4330D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4C3823DB">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7B50CFD3">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会计科目</w:t>
            </w:r>
          </w:p>
        </w:tc>
        <w:tc>
          <w:tcPr>
            <w:tcW w:w="1980" w:type="dxa"/>
            <w:tcMar>
              <w:top w:w="0" w:type="dxa"/>
              <w:left w:w="108" w:type="dxa"/>
              <w:bottom w:w="0" w:type="dxa"/>
              <w:right w:w="108" w:type="dxa"/>
            </w:tcMar>
            <w:vAlign w:val="center"/>
          </w:tcPr>
          <w:p w14:paraId="63FADF60">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79E6CE5F">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6F321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523D641">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0511A45D">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会计账户</w:t>
            </w:r>
          </w:p>
        </w:tc>
        <w:tc>
          <w:tcPr>
            <w:tcW w:w="1980" w:type="dxa"/>
            <w:tcMar>
              <w:top w:w="0" w:type="dxa"/>
              <w:left w:w="108" w:type="dxa"/>
              <w:bottom w:w="0" w:type="dxa"/>
              <w:right w:w="108" w:type="dxa"/>
            </w:tcMar>
            <w:vAlign w:val="center"/>
          </w:tcPr>
          <w:p w14:paraId="17EEE2EB">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0CA1B412">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7EF4B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E99D2D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1563AE01">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复式记账的概念与内容</w:t>
            </w:r>
          </w:p>
        </w:tc>
        <w:tc>
          <w:tcPr>
            <w:tcW w:w="1980" w:type="dxa"/>
            <w:tcMar>
              <w:top w:w="0" w:type="dxa"/>
              <w:left w:w="108" w:type="dxa"/>
              <w:bottom w:w="0" w:type="dxa"/>
              <w:right w:w="108" w:type="dxa"/>
            </w:tcMar>
            <w:vAlign w:val="center"/>
          </w:tcPr>
          <w:p w14:paraId="5BE409CA">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5DA24CA">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0B044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4428A3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448D2E9C">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借贷记账法的理论基础、记账符号和账户结构</w:t>
            </w:r>
          </w:p>
        </w:tc>
        <w:tc>
          <w:tcPr>
            <w:tcW w:w="1980" w:type="dxa"/>
            <w:tcMar>
              <w:top w:w="0" w:type="dxa"/>
              <w:left w:w="108" w:type="dxa"/>
              <w:bottom w:w="0" w:type="dxa"/>
              <w:right w:w="108" w:type="dxa"/>
            </w:tcMar>
            <w:vAlign w:val="center"/>
          </w:tcPr>
          <w:p w14:paraId="3C1DE024">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3C1A0B4">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2CD1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3A6257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2817DF98">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会计等式的表现形式及记账规则</w:t>
            </w:r>
          </w:p>
        </w:tc>
        <w:tc>
          <w:tcPr>
            <w:tcW w:w="1980" w:type="dxa"/>
            <w:tcMar>
              <w:top w:w="0" w:type="dxa"/>
              <w:left w:w="108" w:type="dxa"/>
              <w:bottom w:w="0" w:type="dxa"/>
              <w:right w:w="108" w:type="dxa"/>
            </w:tcMar>
            <w:vAlign w:val="center"/>
          </w:tcPr>
          <w:p w14:paraId="79B51808">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8FE376B">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796C4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FE99F3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7CA6D57A">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主要经济业务的核算</w:t>
            </w:r>
          </w:p>
        </w:tc>
        <w:tc>
          <w:tcPr>
            <w:tcW w:w="1980" w:type="dxa"/>
            <w:tcMar>
              <w:top w:w="0" w:type="dxa"/>
              <w:left w:w="108" w:type="dxa"/>
              <w:bottom w:w="0" w:type="dxa"/>
              <w:right w:w="108" w:type="dxa"/>
            </w:tcMar>
            <w:vAlign w:val="center"/>
          </w:tcPr>
          <w:p w14:paraId="6F2E7676">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1222FC72">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3CCDC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DE9E12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48BBF237">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原始凭证</w:t>
            </w:r>
          </w:p>
        </w:tc>
        <w:tc>
          <w:tcPr>
            <w:tcW w:w="1980" w:type="dxa"/>
            <w:tcMar>
              <w:top w:w="0" w:type="dxa"/>
              <w:left w:w="108" w:type="dxa"/>
              <w:bottom w:w="0" w:type="dxa"/>
              <w:right w:w="108" w:type="dxa"/>
            </w:tcMar>
            <w:vAlign w:val="center"/>
          </w:tcPr>
          <w:p w14:paraId="7A36B75E">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3CAEE1DD">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7E18B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9395A8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2C366BE6">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记账凭证</w:t>
            </w:r>
          </w:p>
        </w:tc>
        <w:tc>
          <w:tcPr>
            <w:tcW w:w="1980" w:type="dxa"/>
            <w:tcMar>
              <w:top w:w="0" w:type="dxa"/>
              <w:left w:w="108" w:type="dxa"/>
              <w:bottom w:w="0" w:type="dxa"/>
              <w:right w:w="108" w:type="dxa"/>
            </w:tcMar>
            <w:vAlign w:val="center"/>
          </w:tcPr>
          <w:p w14:paraId="17F62394">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4BDE7889">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09A9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30EA5B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187299BF">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期中考试</w:t>
            </w:r>
          </w:p>
        </w:tc>
        <w:tc>
          <w:tcPr>
            <w:tcW w:w="1980" w:type="dxa"/>
            <w:tcMar>
              <w:top w:w="0" w:type="dxa"/>
              <w:left w:w="108" w:type="dxa"/>
              <w:bottom w:w="0" w:type="dxa"/>
              <w:right w:w="108" w:type="dxa"/>
            </w:tcMar>
            <w:vAlign w:val="center"/>
          </w:tcPr>
          <w:p w14:paraId="04847D23">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F3AA7C0">
            <w:pPr>
              <w:pStyle w:val="178"/>
              <w:spacing w:line="360" w:lineRule="exact"/>
              <w:ind w:firstLine="508"/>
              <w:jc w:val="center"/>
              <w:rPr>
                <w:rFonts w:asciiTheme="minorEastAsia" w:hAnsiTheme="minorEastAsia" w:eastAsiaTheme="minorEastAsia" w:cstheme="minorBidi"/>
                <w:bCs/>
                <w:color w:val="auto"/>
                <w:lang w:eastAsia="en-US"/>
              </w:rPr>
            </w:pPr>
          </w:p>
        </w:tc>
      </w:tr>
      <w:tr w14:paraId="376AC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397EE6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4BAE6B88">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会计账簿的概念及启用</w:t>
            </w:r>
          </w:p>
        </w:tc>
        <w:tc>
          <w:tcPr>
            <w:tcW w:w="1980" w:type="dxa"/>
            <w:tcMar>
              <w:top w:w="0" w:type="dxa"/>
              <w:left w:w="108" w:type="dxa"/>
              <w:bottom w:w="0" w:type="dxa"/>
              <w:right w:w="108" w:type="dxa"/>
            </w:tcMar>
            <w:vAlign w:val="center"/>
          </w:tcPr>
          <w:p w14:paraId="3C915BC2">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0C5802BF">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59426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3336C6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17F092C2">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设置账簿、总账与明细账的关系</w:t>
            </w:r>
          </w:p>
        </w:tc>
        <w:tc>
          <w:tcPr>
            <w:tcW w:w="1980" w:type="dxa"/>
            <w:tcMar>
              <w:top w:w="0" w:type="dxa"/>
              <w:left w:w="108" w:type="dxa"/>
              <w:bottom w:w="0" w:type="dxa"/>
              <w:right w:w="108" w:type="dxa"/>
            </w:tcMar>
            <w:vAlign w:val="center"/>
          </w:tcPr>
          <w:p w14:paraId="607F58D1">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F993757">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3CD54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DB1893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37C32538">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错账的查找与更正、对账与结账</w:t>
            </w:r>
          </w:p>
        </w:tc>
        <w:tc>
          <w:tcPr>
            <w:tcW w:w="1980" w:type="dxa"/>
            <w:tcMar>
              <w:top w:w="0" w:type="dxa"/>
              <w:left w:w="108" w:type="dxa"/>
              <w:bottom w:w="0" w:type="dxa"/>
              <w:right w:w="108" w:type="dxa"/>
            </w:tcMar>
            <w:vAlign w:val="center"/>
          </w:tcPr>
          <w:p w14:paraId="1DBD4646">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7D5404D3">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1C0F6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1634C0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2B7F5802">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财产清查的概念、范围与种类</w:t>
            </w:r>
          </w:p>
        </w:tc>
        <w:tc>
          <w:tcPr>
            <w:tcW w:w="1980" w:type="dxa"/>
            <w:tcMar>
              <w:top w:w="0" w:type="dxa"/>
              <w:left w:w="108" w:type="dxa"/>
              <w:bottom w:w="0" w:type="dxa"/>
              <w:right w:w="108" w:type="dxa"/>
            </w:tcMar>
            <w:vAlign w:val="center"/>
          </w:tcPr>
          <w:p w14:paraId="1E077E2B">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347C26DD">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448F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925168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7A473A82">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财产清查的方法</w:t>
            </w:r>
          </w:p>
        </w:tc>
        <w:tc>
          <w:tcPr>
            <w:tcW w:w="1980" w:type="dxa"/>
            <w:tcMar>
              <w:top w:w="0" w:type="dxa"/>
              <w:left w:w="108" w:type="dxa"/>
              <w:bottom w:w="0" w:type="dxa"/>
              <w:right w:w="108" w:type="dxa"/>
            </w:tcMar>
            <w:vAlign w:val="center"/>
          </w:tcPr>
          <w:p w14:paraId="5D514ECC">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7B8B33E0">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22231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33C3BC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602BA1F2">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财产清查结果的处理</w:t>
            </w:r>
          </w:p>
        </w:tc>
        <w:tc>
          <w:tcPr>
            <w:tcW w:w="1980" w:type="dxa"/>
            <w:tcMar>
              <w:top w:w="0" w:type="dxa"/>
              <w:left w:w="108" w:type="dxa"/>
              <w:bottom w:w="0" w:type="dxa"/>
              <w:right w:w="108" w:type="dxa"/>
            </w:tcMar>
            <w:vAlign w:val="center"/>
          </w:tcPr>
          <w:p w14:paraId="227AA0C9">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5985344B">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15E9C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FFB44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283F2E4B">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财务报表的概念</w:t>
            </w:r>
          </w:p>
        </w:tc>
        <w:tc>
          <w:tcPr>
            <w:tcW w:w="1980" w:type="dxa"/>
            <w:tcMar>
              <w:top w:w="0" w:type="dxa"/>
              <w:left w:w="108" w:type="dxa"/>
              <w:bottom w:w="0" w:type="dxa"/>
              <w:right w:w="108" w:type="dxa"/>
            </w:tcMar>
            <w:vAlign w:val="center"/>
          </w:tcPr>
          <w:p w14:paraId="42A4176E">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66EEC735">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7839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F57456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588CF95D">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资产负债表和利润表的编制方法</w:t>
            </w:r>
          </w:p>
        </w:tc>
        <w:tc>
          <w:tcPr>
            <w:tcW w:w="1980" w:type="dxa"/>
            <w:tcMar>
              <w:top w:w="0" w:type="dxa"/>
              <w:left w:w="108" w:type="dxa"/>
              <w:bottom w:w="0" w:type="dxa"/>
              <w:right w:w="108" w:type="dxa"/>
            </w:tcMar>
            <w:vAlign w:val="center"/>
          </w:tcPr>
          <w:p w14:paraId="671C5A44">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6934D8F6">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5046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789C67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7AA6DD61">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账务处理程序</w:t>
            </w:r>
          </w:p>
        </w:tc>
        <w:tc>
          <w:tcPr>
            <w:tcW w:w="1980" w:type="dxa"/>
            <w:tcMar>
              <w:top w:w="0" w:type="dxa"/>
              <w:left w:w="108" w:type="dxa"/>
              <w:bottom w:w="0" w:type="dxa"/>
              <w:right w:w="108" w:type="dxa"/>
            </w:tcMar>
            <w:vAlign w:val="center"/>
          </w:tcPr>
          <w:p w14:paraId="791719A6">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vAlign w:val="center"/>
          </w:tcPr>
          <w:p w14:paraId="2912796C">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讲授</w:t>
            </w:r>
          </w:p>
        </w:tc>
      </w:tr>
      <w:tr w14:paraId="73A1E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69A9C7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34AE1C1C">
            <w:pPr>
              <w:pStyle w:val="178"/>
              <w:spacing w:line="360" w:lineRule="exact"/>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期末考试</w:t>
            </w:r>
          </w:p>
        </w:tc>
        <w:tc>
          <w:tcPr>
            <w:tcW w:w="1980" w:type="dxa"/>
            <w:tcMar>
              <w:top w:w="0" w:type="dxa"/>
              <w:left w:w="108" w:type="dxa"/>
              <w:bottom w:w="0" w:type="dxa"/>
              <w:right w:w="108" w:type="dxa"/>
            </w:tcMar>
            <w:vAlign w:val="center"/>
          </w:tcPr>
          <w:p w14:paraId="4E359B74">
            <w:pPr>
              <w:pStyle w:val="178"/>
              <w:spacing w:line="360" w:lineRule="exact"/>
              <w:ind w:firstLine="508"/>
              <w:jc w:val="center"/>
              <w:rPr>
                <w:rFonts w:asciiTheme="minorEastAsia" w:hAnsiTheme="minorEastAsia" w:eastAsiaTheme="minorEastAsia" w:cstheme="minorBidi"/>
                <w:bCs/>
                <w:color w:val="auto"/>
                <w:lang w:eastAsia="en-US"/>
              </w:rPr>
            </w:pPr>
            <w:r>
              <w:rPr>
                <w:rFonts w:hint="eastAsia" w:asciiTheme="minorEastAsia" w:hAnsiTheme="minorEastAsia" w:eastAsiaTheme="minorEastAsia" w:cstheme="minorBidi"/>
                <w:bCs/>
                <w:color w:val="auto"/>
                <w:lang w:eastAsia="en-US"/>
              </w:rPr>
              <w:t>6</w:t>
            </w:r>
          </w:p>
        </w:tc>
        <w:tc>
          <w:tcPr>
            <w:tcW w:w="2182" w:type="dxa"/>
            <w:tcMar>
              <w:top w:w="0" w:type="dxa"/>
              <w:left w:w="108" w:type="dxa"/>
              <w:bottom w:w="0" w:type="dxa"/>
              <w:right w:w="108" w:type="dxa"/>
            </w:tcMar>
          </w:tcPr>
          <w:p w14:paraId="4549A751">
            <w:pPr>
              <w:pStyle w:val="178"/>
              <w:spacing w:line="360" w:lineRule="exact"/>
              <w:ind w:firstLine="508"/>
              <w:jc w:val="center"/>
              <w:rPr>
                <w:rFonts w:asciiTheme="minorEastAsia" w:hAnsiTheme="minorEastAsia" w:eastAsiaTheme="minorEastAsia" w:cstheme="minorBidi"/>
                <w:bCs/>
                <w:color w:val="auto"/>
                <w:lang w:eastAsia="en-US"/>
              </w:rPr>
            </w:pPr>
          </w:p>
        </w:tc>
      </w:tr>
    </w:tbl>
    <w:p w14:paraId="65F0FBC3"/>
    <w:p w14:paraId="7B04AE7B">
      <w:pPr>
        <w:pStyle w:val="2"/>
      </w:pPr>
    </w:p>
    <w:p w14:paraId="107D8C2F">
      <w:pPr>
        <w:pStyle w:val="2"/>
      </w:pPr>
    </w:p>
    <w:p w14:paraId="5D020804">
      <w:pPr>
        <w:pStyle w:val="2"/>
      </w:pPr>
    </w:p>
    <w:p w14:paraId="29963878">
      <w:pPr>
        <w:pStyle w:val="2"/>
      </w:pPr>
    </w:p>
    <w:p w14:paraId="76BEDF7C">
      <w:pPr>
        <w:pStyle w:val="2"/>
        <w:ind w:firstLine="0" w:firstLineChars="0"/>
      </w:pPr>
    </w:p>
    <w:p w14:paraId="5E636609">
      <w:pPr>
        <w:pStyle w:val="2"/>
        <w:ind w:firstLine="0" w:firstLineChars="0"/>
      </w:pPr>
    </w:p>
    <w:p w14:paraId="20FCEA82">
      <w:pPr>
        <w:pStyle w:val="2"/>
        <w:ind w:firstLine="0" w:firstLineChars="0"/>
      </w:pPr>
    </w:p>
    <w:p w14:paraId="3024A978">
      <w:pPr>
        <w:pStyle w:val="17"/>
        <w:spacing w:before="156" w:beforeLines="50" w:after="156" w:afterLines="50"/>
        <w:jc w:val="center"/>
        <w:outlineLvl w:val="2"/>
        <w:rPr>
          <w:rFonts w:ascii="黑体" w:hAnsi="黑体" w:eastAsia="黑体" w:cs="黑体"/>
          <w:sz w:val="30"/>
          <w:szCs w:val="30"/>
        </w:rPr>
      </w:pPr>
      <w:bookmarkStart w:id="137" w:name="_Toc23471"/>
      <w:bookmarkStart w:id="138" w:name="_Toc29655"/>
      <w:bookmarkStart w:id="139" w:name="_Toc22233"/>
      <w:r>
        <w:rPr>
          <w:rFonts w:hint="eastAsia" w:ascii="黑体" w:hAnsi="黑体" w:eastAsia="黑体" w:cs="黑体"/>
          <w:sz w:val="30"/>
          <w:szCs w:val="30"/>
        </w:rPr>
        <w:t>金融认知课程标准</w:t>
      </w:r>
      <w:bookmarkEnd w:id="137"/>
      <w:bookmarkEnd w:id="138"/>
      <w:bookmarkEnd w:id="139"/>
    </w:p>
    <w:p w14:paraId="734F4CAF">
      <w:pPr>
        <w:pStyle w:val="17"/>
        <w:spacing w:after="0" w:line="400" w:lineRule="exact"/>
        <w:ind w:firstLine="560" w:firstLineChars="200"/>
        <w:rPr>
          <w:rFonts w:ascii="楷体_GB2312" w:eastAsia="楷体_GB2312"/>
          <w:sz w:val="28"/>
          <w:szCs w:val="28"/>
        </w:rPr>
      </w:pPr>
    </w:p>
    <w:p w14:paraId="74B40E68">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6409ED2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是会计事务和金融事务的一门核心课，结合金融改革和发展的实际，围绕学生的职业岗位能力和创造能力，从理论与实践结合的角度阐述金融基本理论，基础知识，为山东春季高考学生的学习金融事务专业打些基础。</w:t>
      </w:r>
    </w:p>
    <w:p w14:paraId="75CEE79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本课程旨在学生通过对金融知识的了解，能简单解释社会经济现象，提升自己对经济事物的看法，从而达到对国家经济政策的了解，增强爱国主义思想。</w:t>
      </w:r>
    </w:p>
    <w:p w14:paraId="3F617546">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4513BD8E">
      <w:pPr>
        <w:pStyle w:val="17"/>
        <w:spacing w:after="0" w:line="400" w:lineRule="exact"/>
        <w:ind w:firstLine="480" w:firstLineChars="200"/>
        <w:rPr>
          <w:sz w:val="24"/>
          <w:szCs w:val="24"/>
        </w:rPr>
      </w:pPr>
      <w:r>
        <w:rPr>
          <w:rFonts w:hint="eastAsia"/>
          <w:sz w:val="24"/>
          <w:szCs w:val="24"/>
        </w:rPr>
        <w:t>1</w:t>
      </w:r>
      <w:r>
        <w:rPr>
          <w:sz w:val="24"/>
          <w:szCs w:val="24"/>
        </w:rPr>
        <w:t>.素质目标</w:t>
      </w:r>
    </w:p>
    <w:p w14:paraId="3A412113">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（1）具有较强的语言表达、职业沟通和团队合作能力；</w:t>
      </w:r>
    </w:p>
    <w:p w14:paraId="24825F52">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（2）能严格公正地执行金融纪律；</w:t>
      </w:r>
    </w:p>
    <w:p w14:paraId="2410629A">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（3）具有良好的心理素质、诚信品质和社会责任感；</w:t>
      </w:r>
    </w:p>
    <w:p w14:paraId="438702CB">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（4）具有踏实肯干的工作作风和主动、热情、耐心的服务意识；</w:t>
      </w:r>
    </w:p>
    <w:p w14:paraId="1388B77D">
      <w:pPr>
        <w:pStyle w:val="17"/>
        <w:spacing w:after="0" w:line="400" w:lineRule="exact"/>
        <w:ind w:firstLine="480" w:firstLineChars="200"/>
        <w:rPr>
          <w:sz w:val="24"/>
          <w:szCs w:val="24"/>
        </w:rPr>
      </w:pPr>
      <w:r>
        <w:rPr>
          <w:rFonts w:hint="eastAsia" w:ascii="仿宋_GB2312" w:hAnsi="仿宋_GB2312" w:cs="仿宋_GB2312"/>
          <w:sz w:val="24"/>
          <w:szCs w:val="24"/>
        </w:rPr>
        <w:t>（5）根据学习目标，独立开展社会调查能力。</w:t>
      </w:r>
    </w:p>
    <w:p w14:paraId="02E42019">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60DEA156">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（1）理解货币的本质与货币流通规律；掌握货币的职能；</w:t>
      </w:r>
    </w:p>
    <w:p w14:paraId="0833169A">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（2）了解货币形式的发展、货币制度的演变和货币流通形式与渠道；</w:t>
      </w:r>
    </w:p>
    <w:p w14:paraId="3BA84B38">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（3）了解信用产生与发展的历程与形式；</w:t>
      </w:r>
    </w:p>
    <w:p w14:paraId="34B8BBE8">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（4）理解信用的含义、信用工具的含义和基本特征；</w:t>
      </w:r>
    </w:p>
    <w:p w14:paraId="5BD4B387">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（5）掌握现代信用形式和信用工具的分类；</w:t>
      </w:r>
    </w:p>
    <w:p w14:paraId="48DE0CF5">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（6）理解利息的含义、利息率的种类及各类利息率的含义, 掌握利息的计算方法；</w:t>
      </w:r>
    </w:p>
    <w:p w14:paraId="352F20F1">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（7）理解影响和决定利率的主要因素；</w:t>
      </w:r>
    </w:p>
    <w:p w14:paraId="7401FFE7">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（8）理解金融机构的概念和金融机构体系；</w:t>
      </w:r>
    </w:p>
    <w:p w14:paraId="02DE1428">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（9）了解金融机构的产生与发展；</w:t>
      </w:r>
    </w:p>
    <w:p w14:paraId="50EA67A0">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（10）掌握政策性银行的性质；</w:t>
      </w:r>
    </w:p>
    <w:p w14:paraId="27A83886">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（11）了解商业银行的产生与发展；</w:t>
      </w:r>
    </w:p>
    <w:p w14:paraId="64257C73">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（12）理解商业银行的概念与商业银行的信用创造；</w:t>
      </w:r>
    </w:p>
    <w:p w14:paraId="0EB58738">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（13）掌握商业银行的性质与职能及商业银行的负债业务，资产业务；</w:t>
      </w:r>
    </w:p>
    <w:p w14:paraId="23517016">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（14）了解中央银行的产生与发展和中央银行的组织制度；</w:t>
      </w:r>
    </w:p>
    <w:p w14:paraId="7295D7DA">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（15）理解中央银行的性质与职能；</w:t>
      </w:r>
    </w:p>
    <w:p w14:paraId="51C54D47">
      <w:pPr>
        <w:spacing w:line="400" w:lineRule="exact"/>
        <w:ind w:firstLine="480" w:firstLineChars="200"/>
        <w:rPr>
          <w:rFonts w:ascii="仿宋_GB2312" w:eastAsia="仿宋_GB2312" w:cs="仿宋_GB2312"/>
          <w:sz w:val="24"/>
          <w:szCs w:val="24"/>
        </w:rPr>
      </w:pPr>
      <w:r>
        <w:rPr>
          <w:rFonts w:hint="eastAsia" w:ascii="仿宋_GB2312" w:hAnsi="仿宋_GB2312" w:eastAsia="仿宋_GB2312" w:cs="仿宋_GB2312"/>
          <w:sz w:val="24"/>
          <w:szCs w:val="24"/>
        </w:rPr>
        <w:t>（16）掌握中央银行的负债业务、资产业务和清算业务。</w:t>
      </w:r>
    </w:p>
    <w:p w14:paraId="2C9FD144">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11220A81">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（1）能具备从事金融工作最基本的基础知识；</w:t>
      </w:r>
    </w:p>
    <w:p w14:paraId="4699AD57">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（2）能具备金融岗位就业能力和职业岗位（群）初步判断能力；</w:t>
      </w:r>
    </w:p>
    <w:p w14:paraId="3CF3822B">
      <w:pPr>
        <w:spacing w:line="400" w:lineRule="exact"/>
        <w:ind w:firstLine="480" w:firstLineChars="200"/>
        <w:rPr>
          <w:rFonts w:ascii="仿宋_GB2312" w:eastAsia="仿宋_GB2312" w:cs="仿宋_GB2312"/>
          <w:sz w:val="24"/>
          <w:szCs w:val="24"/>
        </w:rPr>
      </w:pPr>
      <w:r>
        <w:rPr>
          <w:rFonts w:hint="eastAsia" w:ascii="仿宋_GB2312" w:hAnsi="仿宋_GB2312" w:eastAsia="仿宋_GB2312" w:cs="仿宋_GB2312"/>
          <w:sz w:val="24"/>
          <w:szCs w:val="24"/>
        </w:rPr>
        <w:t>（3）能严格执行财经法规，具备诚实守信的职业道德。</w:t>
      </w:r>
    </w:p>
    <w:p w14:paraId="189B6AC0">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54E852E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20BDA806">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31B408B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2学分。</w:t>
      </w:r>
    </w:p>
    <w:p w14:paraId="10AF3FB0">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34376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53F39B6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41D1E6A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5F00569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7072983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47286E6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36487B6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40E6B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7BCE245">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3BB283E2">
            <w:pPr>
              <w:adjustRightInd w:val="0"/>
              <w:spacing w:line="360" w:lineRule="exact"/>
              <w:rPr>
                <w:rFonts w:asciiTheme="minorEastAsia" w:hAnsiTheme="minorEastAsia" w:cstheme="minorEastAsia"/>
              </w:rPr>
            </w:pPr>
            <w:r>
              <w:rPr>
                <w:rFonts w:hint="eastAsia" w:cs="Times New Roman"/>
              </w:rPr>
              <w:t>认识货币</w:t>
            </w:r>
          </w:p>
        </w:tc>
        <w:tc>
          <w:tcPr>
            <w:tcW w:w="2880" w:type="dxa"/>
            <w:vAlign w:val="center"/>
          </w:tcPr>
          <w:p w14:paraId="4A6B4F8A">
            <w:r>
              <w:rPr>
                <w:rFonts w:hint="eastAsia"/>
              </w:rPr>
              <w:t>1.理解货币的本质与货币流通规律，掌握货币的职能；</w:t>
            </w:r>
          </w:p>
          <w:p w14:paraId="3C9B1EE3">
            <w:r>
              <w:rPr>
                <w:rFonts w:hint="eastAsia"/>
              </w:rPr>
              <w:t>2.了解货币形式的发展、货币制度的内容演变和货币流通形式与渠道。</w:t>
            </w:r>
          </w:p>
          <w:p w14:paraId="029319DE">
            <w:pPr>
              <w:adjustRightInd w:val="0"/>
              <w:rPr>
                <w:rFonts w:ascii="仿宋_GB2312" w:cs="Times New Roman"/>
              </w:rPr>
            </w:pPr>
          </w:p>
        </w:tc>
        <w:tc>
          <w:tcPr>
            <w:tcW w:w="2682" w:type="dxa"/>
          </w:tcPr>
          <w:p w14:paraId="7595E70B">
            <w:r>
              <w:rPr>
                <w:rFonts w:hint="eastAsia"/>
              </w:rPr>
              <w:t>1.通过案例展示货币的相关内容；</w:t>
            </w:r>
          </w:p>
          <w:p w14:paraId="72B89AE1">
            <w:r>
              <w:rPr>
                <w:rFonts w:hint="eastAsia"/>
              </w:rPr>
              <w:t>2.多媒体演示，了解货币的本质；</w:t>
            </w:r>
          </w:p>
          <w:p w14:paraId="2DB5383D">
            <w:pPr>
              <w:adjustRightInd w:val="0"/>
              <w:rPr>
                <w:rFonts w:ascii="仿宋_GB2312" w:cs="Times New Roman"/>
              </w:rPr>
            </w:pPr>
            <w:r>
              <w:rPr>
                <w:rFonts w:hint="eastAsia"/>
              </w:rPr>
              <w:t>3.通过实物或图片展示的货币形式的发展。</w:t>
            </w:r>
          </w:p>
        </w:tc>
        <w:tc>
          <w:tcPr>
            <w:tcW w:w="724" w:type="dxa"/>
            <w:vAlign w:val="center"/>
          </w:tcPr>
          <w:p w14:paraId="1D7EF5B0">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r>
      <w:tr w14:paraId="2E0B6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22A256D">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7C1D916F">
            <w:pPr>
              <w:adjustRightInd w:val="0"/>
              <w:jc w:val="center"/>
              <w:rPr>
                <w:rFonts w:ascii="仿宋_GB2312" w:cs="Times New Roman"/>
              </w:rPr>
            </w:pPr>
            <w:r>
              <w:rPr>
                <w:rFonts w:hint="eastAsia" w:cs="Times New Roman"/>
              </w:rPr>
              <w:t>认识信用</w:t>
            </w:r>
          </w:p>
        </w:tc>
        <w:tc>
          <w:tcPr>
            <w:tcW w:w="2880" w:type="dxa"/>
            <w:vAlign w:val="center"/>
          </w:tcPr>
          <w:p w14:paraId="7F532EF6">
            <w:r>
              <w:rPr>
                <w:rFonts w:hint="eastAsia"/>
              </w:rPr>
              <w:t>1.理解信用的概念与特征，掌握信用的构成要素；</w:t>
            </w:r>
          </w:p>
          <w:p w14:paraId="67CA330C">
            <w:r>
              <w:rPr>
                <w:rFonts w:hint="eastAsia"/>
              </w:rPr>
              <w:t>2.理解信用工具的概念与特征；</w:t>
            </w:r>
          </w:p>
          <w:p w14:paraId="2857402F">
            <w:r>
              <w:rPr>
                <w:rFonts w:hint="eastAsia"/>
              </w:rPr>
              <w:t>3.掌握常见的信用工具和信用工具的分类；</w:t>
            </w:r>
          </w:p>
          <w:p w14:paraId="550F0360">
            <w:r>
              <w:rPr>
                <w:rFonts w:hint="eastAsia"/>
              </w:rPr>
              <w:t>4.理解信息的本质、利息率的概念及分类；</w:t>
            </w:r>
          </w:p>
          <w:p w14:paraId="2831E727">
            <w:pPr>
              <w:adjustRightInd w:val="0"/>
              <w:rPr>
                <w:rFonts w:ascii="仿宋_GB2312" w:cs="Times New Roman"/>
              </w:rPr>
            </w:pPr>
            <w:r>
              <w:rPr>
                <w:rFonts w:hint="eastAsia"/>
              </w:rPr>
              <w:t>5.理解影响利息率的因素，掌握利息的计算方法。</w:t>
            </w:r>
          </w:p>
        </w:tc>
        <w:tc>
          <w:tcPr>
            <w:tcW w:w="2682" w:type="dxa"/>
            <w:vAlign w:val="center"/>
          </w:tcPr>
          <w:p w14:paraId="3F158676">
            <w:r>
              <w:rPr>
                <w:rFonts w:hint="eastAsia"/>
              </w:rPr>
              <w:t>1.通过活动导入，了解经济学中的信用；</w:t>
            </w:r>
          </w:p>
          <w:p w14:paraId="68B9FD56">
            <w:r>
              <w:rPr>
                <w:rFonts w:hint="eastAsia"/>
              </w:rPr>
              <w:t>2.多媒体演示，了解各种信用工具；</w:t>
            </w:r>
          </w:p>
          <w:p w14:paraId="3E940BD5">
            <w:pPr>
              <w:adjustRightInd w:val="0"/>
              <w:rPr>
                <w:rFonts w:ascii="仿宋_GB2312" w:cs="Times New Roman"/>
              </w:rPr>
            </w:pPr>
            <w:r>
              <w:rPr>
                <w:rFonts w:hint="eastAsia"/>
              </w:rPr>
              <w:t>3.活动拓展，寻找身边的信用工具。</w:t>
            </w:r>
          </w:p>
        </w:tc>
        <w:tc>
          <w:tcPr>
            <w:tcW w:w="724" w:type="dxa"/>
            <w:vAlign w:val="center"/>
          </w:tcPr>
          <w:p w14:paraId="76953E55">
            <w:pPr>
              <w:adjustRightInd w:val="0"/>
              <w:jc w:val="center"/>
              <w:rPr>
                <w:rFonts w:ascii="仿宋_GB2312" w:cs="Times New Roman"/>
              </w:rPr>
            </w:pPr>
            <w:r>
              <w:rPr>
                <w:rFonts w:hint="eastAsia" w:cs="Times New Roman"/>
              </w:rPr>
              <w:t>4</w:t>
            </w:r>
          </w:p>
        </w:tc>
      </w:tr>
      <w:tr w14:paraId="5845F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C89FB7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48BDAEB5">
            <w:pPr>
              <w:adjustRightInd w:val="0"/>
              <w:jc w:val="center"/>
              <w:rPr>
                <w:rFonts w:ascii="仿宋_GB2312" w:cs="Times New Roman"/>
              </w:rPr>
            </w:pPr>
            <w:r>
              <w:rPr>
                <w:rFonts w:hint="eastAsia" w:cs="Times New Roman"/>
              </w:rPr>
              <w:t>金融机构</w:t>
            </w:r>
          </w:p>
        </w:tc>
        <w:tc>
          <w:tcPr>
            <w:tcW w:w="2880" w:type="dxa"/>
            <w:vAlign w:val="center"/>
          </w:tcPr>
          <w:p w14:paraId="00A91A5F">
            <w:pPr>
              <w:widowControl/>
            </w:pPr>
            <w:r>
              <w:rPr>
                <w:rFonts w:hint="eastAsia"/>
              </w:rPr>
              <w:t>1.理解金融机构的概念和金融机构体系；</w:t>
            </w:r>
          </w:p>
          <w:p w14:paraId="2D5C8A98">
            <w:pPr>
              <w:widowControl/>
            </w:pPr>
            <w:r>
              <w:rPr>
                <w:rFonts w:hint="eastAsia"/>
              </w:rPr>
              <w:t>2.了解银行金融机构的产生与发展，了解政策性银行和村镇银行的产生与发展；</w:t>
            </w:r>
          </w:p>
          <w:p w14:paraId="30E6528C">
            <w:pPr>
              <w:widowControl/>
            </w:pPr>
            <w:r>
              <w:rPr>
                <w:rFonts w:hint="eastAsia"/>
              </w:rPr>
              <w:t>3.掌握我国的政策性银行和村镇银行的特点和业务；</w:t>
            </w:r>
          </w:p>
          <w:p w14:paraId="03C53C4D">
            <w:pPr>
              <w:widowControl/>
            </w:pPr>
            <w:r>
              <w:rPr>
                <w:rFonts w:hint="eastAsia"/>
              </w:rPr>
              <w:t>4.掌握证券公司的业务；</w:t>
            </w:r>
          </w:p>
          <w:p w14:paraId="16B9B1B0">
            <w:pPr>
              <w:widowControl/>
            </w:pPr>
            <w:r>
              <w:rPr>
                <w:rFonts w:hint="eastAsia"/>
              </w:rPr>
              <w:t>5.了解保险公司的产生与发展，掌握保险公司的种类与业务；</w:t>
            </w:r>
          </w:p>
          <w:p w14:paraId="06935B05">
            <w:pPr>
              <w:widowControl/>
              <w:rPr>
                <w:rFonts w:ascii="仿宋_GB2312" w:cs="Times New Roman"/>
              </w:rPr>
            </w:pPr>
            <w:r>
              <w:rPr>
                <w:rFonts w:hint="eastAsia"/>
              </w:rPr>
              <w:t>6.掌握信托公司、基金公司和小额贷款公司等其他金额机构。</w:t>
            </w:r>
          </w:p>
        </w:tc>
        <w:tc>
          <w:tcPr>
            <w:tcW w:w="2682" w:type="dxa"/>
            <w:vAlign w:val="center"/>
          </w:tcPr>
          <w:p w14:paraId="5AE25215">
            <w:pPr>
              <w:widowControl/>
            </w:pPr>
            <w:r>
              <w:rPr>
                <w:rFonts w:hint="eastAsia"/>
              </w:rPr>
              <w:t>1.通过多媒体课件，理解金融机构体系；</w:t>
            </w:r>
          </w:p>
          <w:p w14:paraId="0A76F58E">
            <w:pPr>
              <w:widowControl/>
            </w:pPr>
            <w:r>
              <w:rPr>
                <w:rFonts w:hint="eastAsia"/>
              </w:rPr>
              <w:t>2.提供综合业务资料，了解银行金融机构的产生与发展；</w:t>
            </w:r>
          </w:p>
          <w:p w14:paraId="49C1CC3B">
            <w:pPr>
              <w:adjustRightInd w:val="0"/>
            </w:pPr>
            <w:r>
              <w:rPr>
                <w:rFonts w:hint="eastAsia"/>
              </w:rPr>
              <w:t>3.了解一些金融故事。</w:t>
            </w:r>
          </w:p>
          <w:p w14:paraId="52A8CADF">
            <w:pPr>
              <w:adjustRightInd w:val="0"/>
              <w:rPr>
                <w:rFonts w:ascii="仿宋_GB2312" w:cs="Times New Roman"/>
              </w:rPr>
            </w:pPr>
            <w:r>
              <w:rPr>
                <w:rFonts w:hint="eastAsia"/>
              </w:rPr>
              <w:t>4</w:t>
            </w:r>
            <w:r>
              <w:t>.</w:t>
            </w:r>
            <w:r>
              <w:rPr>
                <w:rFonts w:hint="eastAsia"/>
              </w:rPr>
              <w:t>培养学生正确的价值观和投资观念。</w:t>
            </w:r>
          </w:p>
        </w:tc>
        <w:tc>
          <w:tcPr>
            <w:tcW w:w="724" w:type="dxa"/>
            <w:vAlign w:val="center"/>
          </w:tcPr>
          <w:p w14:paraId="2AB5A918">
            <w:pPr>
              <w:adjustRightInd w:val="0"/>
              <w:jc w:val="center"/>
              <w:rPr>
                <w:rFonts w:ascii="仿宋_GB2312" w:cs="Times New Roman"/>
              </w:rPr>
            </w:pPr>
            <w:r>
              <w:rPr>
                <w:rFonts w:hint="eastAsia" w:cs="Times New Roman"/>
              </w:rPr>
              <w:t>4</w:t>
            </w:r>
          </w:p>
        </w:tc>
      </w:tr>
      <w:tr w14:paraId="0F0E8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71CB5CA">
            <w:pPr>
              <w:adjustRightInd w:val="0"/>
              <w:jc w:val="center"/>
              <w:rPr>
                <w:rFonts w:cs="Times New Roman"/>
              </w:rPr>
            </w:pPr>
            <w:r>
              <w:rPr>
                <w:rFonts w:hint="eastAsia"/>
              </w:rPr>
              <w:t>4</w:t>
            </w:r>
          </w:p>
        </w:tc>
        <w:tc>
          <w:tcPr>
            <w:tcW w:w="1089" w:type="dxa"/>
            <w:vAlign w:val="center"/>
          </w:tcPr>
          <w:p w14:paraId="0F902133">
            <w:pPr>
              <w:adjustRightInd w:val="0"/>
              <w:jc w:val="center"/>
              <w:rPr>
                <w:rFonts w:cs="Times New Roman"/>
              </w:rPr>
            </w:pPr>
            <w:r>
              <w:rPr>
                <w:rFonts w:hint="eastAsia"/>
              </w:rPr>
              <w:t>商业银行</w:t>
            </w:r>
          </w:p>
        </w:tc>
        <w:tc>
          <w:tcPr>
            <w:tcW w:w="2880" w:type="dxa"/>
            <w:vAlign w:val="center"/>
          </w:tcPr>
          <w:p w14:paraId="718CFB7E">
            <w:r>
              <w:rPr>
                <w:rFonts w:hint="eastAsia"/>
              </w:rPr>
              <w:t>1.了解商业银行的产生与发展；</w:t>
            </w:r>
          </w:p>
          <w:p w14:paraId="10F0D537">
            <w:r>
              <w:rPr>
                <w:rFonts w:hint="eastAsia"/>
              </w:rPr>
              <w:t>2.理解商业银行的概念与商业银行的信用创造；</w:t>
            </w:r>
          </w:p>
          <w:p w14:paraId="56DB8383">
            <w:r>
              <w:rPr>
                <w:rFonts w:hint="eastAsia"/>
              </w:rPr>
              <w:t>3.理解商业银行的性质与职能；</w:t>
            </w:r>
          </w:p>
          <w:p w14:paraId="6BFFC675">
            <w:r>
              <w:rPr>
                <w:rFonts w:hint="eastAsia"/>
              </w:rPr>
              <w:t>4.掌握商业银行的负债业务、资产业务和中间业务；</w:t>
            </w:r>
          </w:p>
          <w:p w14:paraId="60650914">
            <w:pPr>
              <w:widowControl/>
            </w:pPr>
            <w:r>
              <w:rPr>
                <w:rFonts w:hint="eastAsia"/>
              </w:rPr>
              <w:t>5.理解商业银行业务经营的原则。</w:t>
            </w:r>
          </w:p>
        </w:tc>
        <w:tc>
          <w:tcPr>
            <w:tcW w:w="2682" w:type="dxa"/>
            <w:vAlign w:val="center"/>
          </w:tcPr>
          <w:p w14:paraId="5B056BC0">
            <w:r>
              <w:rPr>
                <w:rFonts w:hint="eastAsia"/>
              </w:rPr>
              <w:t>1.多媒体演示商业银行的产生与发展；</w:t>
            </w:r>
          </w:p>
          <w:p w14:paraId="53A52486">
            <w:r>
              <w:rPr>
                <w:rFonts w:hint="eastAsia"/>
              </w:rPr>
              <w:t>2.提供经济业务资料，理解商业银行的性质与职能；</w:t>
            </w:r>
          </w:p>
          <w:p w14:paraId="2663CD72">
            <w:pPr>
              <w:widowControl/>
            </w:pPr>
            <w:r>
              <w:rPr>
                <w:rFonts w:hint="eastAsia"/>
              </w:rPr>
              <w:t>3.银行实地参观，进一步理解商业银行的业务。</w:t>
            </w:r>
          </w:p>
          <w:p w14:paraId="4937C004">
            <w:pPr>
              <w:widowControl/>
            </w:pPr>
            <w:r>
              <w:rPr>
                <w:rFonts w:hint="eastAsia"/>
              </w:rPr>
              <w:t>4</w:t>
            </w:r>
            <w:r>
              <w:t>.</w:t>
            </w:r>
            <w:r>
              <w:rPr>
                <w:rFonts w:hint="eastAsia"/>
              </w:rPr>
              <w:t>增强学生自身的处理事情的能力，学会发现身边金融事物的合理性和归属性。</w:t>
            </w:r>
          </w:p>
        </w:tc>
        <w:tc>
          <w:tcPr>
            <w:tcW w:w="724" w:type="dxa"/>
            <w:vAlign w:val="center"/>
          </w:tcPr>
          <w:p w14:paraId="76A325C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72CCE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DFA6EFF">
            <w:pPr>
              <w:adjustRightInd w:val="0"/>
              <w:jc w:val="center"/>
            </w:pPr>
            <w:r>
              <w:rPr>
                <w:rFonts w:hint="eastAsia"/>
              </w:rPr>
              <w:t>5</w:t>
            </w:r>
          </w:p>
        </w:tc>
        <w:tc>
          <w:tcPr>
            <w:tcW w:w="1089" w:type="dxa"/>
            <w:vAlign w:val="center"/>
          </w:tcPr>
          <w:p w14:paraId="03661F1C">
            <w:pPr>
              <w:adjustRightInd w:val="0"/>
              <w:jc w:val="center"/>
            </w:pPr>
            <w:r>
              <w:rPr>
                <w:rFonts w:hint="eastAsia"/>
              </w:rPr>
              <w:t>中央银行</w:t>
            </w:r>
          </w:p>
        </w:tc>
        <w:tc>
          <w:tcPr>
            <w:tcW w:w="2880" w:type="dxa"/>
            <w:vAlign w:val="center"/>
          </w:tcPr>
          <w:p w14:paraId="51578CFB">
            <w:pPr>
              <w:numPr>
                <w:ilvl w:val="0"/>
                <w:numId w:val="5"/>
              </w:numPr>
            </w:pPr>
            <w:r>
              <w:rPr>
                <w:rFonts w:hint="eastAsia"/>
              </w:rPr>
              <w:t>理解中央银行的性质、职能与组织制度；</w:t>
            </w:r>
          </w:p>
          <w:p w14:paraId="361E21DB">
            <w:r>
              <w:rPr>
                <w:rFonts w:hint="eastAsia"/>
              </w:rPr>
              <w:t>2.理解中央银行的负债业务、资产业务和清算业务。</w:t>
            </w:r>
          </w:p>
        </w:tc>
        <w:tc>
          <w:tcPr>
            <w:tcW w:w="2682" w:type="dxa"/>
            <w:vAlign w:val="center"/>
          </w:tcPr>
          <w:p w14:paraId="10D1C76C">
            <w:r>
              <w:rPr>
                <w:rFonts w:hint="eastAsia"/>
              </w:rPr>
              <w:t>1.多媒体或手工演示中央银行的相关内容；</w:t>
            </w:r>
          </w:p>
          <w:p w14:paraId="6273C61D">
            <w:r>
              <w:rPr>
                <w:rFonts w:hint="eastAsia"/>
              </w:rPr>
              <w:t>2.提供经济业务资料，指导学生自行判断。</w:t>
            </w:r>
          </w:p>
          <w:p w14:paraId="6AF3E6FC">
            <w:r>
              <w:rPr>
                <w:rFonts w:hint="eastAsia"/>
              </w:rPr>
              <w:t>3</w:t>
            </w:r>
            <w:r>
              <w:t>.</w:t>
            </w:r>
            <w:r>
              <w:rPr>
                <w:rFonts w:hint="eastAsia"/>
              </w:rPr>
              <w:t>响应国家经济政策，为国家经济发展做出有力贡献。</w:t>
            </w:r>
          </w:p>
        </w:tc>
        <w:tc>
          <w:tcPr>
            <w:tcW w:w="724" w:type="dxa"/>
            <w:vAlign w:val="center"/>
          </w:tcPr>
          <w:p w14:paraId="187A2625">
            <w:pPr>
              <w:adjustRightInd w:val="0"/>
              <w:jc w:val="center"/>
            </w:pPr>
            <w:r>
              <w:rPr>
                <w:rFonts w:hint="eastAsia"/>
              </w:rPr>
              <w:t>6</w:t>
            </w:r>
          </w:p>
        </w:tc>
      </w:tr>
      <w:tr w14:paraId="71A67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3135F0A">
            <w:pPr>
              <w:adjustRightInd w:val="0"/>
              <w:jc w:val="center"/>
            </w:pPr>
            <w:r>
              <w:rPr>
                <w:rFonts w:hint="eastAsia" w:cs="Times New Roman"/>
              </w:rPr>
              <w:t>6</w:t>
            </w:r>
          </w:p>
        </w:tc>
        <w:tc>
          <w:tcPr>
            <w:tcW w:w="1089" w:type="dxa"/>
            <w:vAlign w:val="center"/>
          </w:tcPr>
          <w:p w14:paraId="0BE5198B">
            <w:pPr>
              <w:adjustRightInd w:val="0"/>
              <w:jc w:val="center"/>
            </w:pPr>
            <w:r>
              <w:rPr>
                <w:rFonts w:hint="eastAsia"/>
              </w:rPr>
              <w:t>货币供求和通货膨胀</w:t>
            </w:r>
          </w:p>
        </w:tc>
        <w:tc>
          <w:tcPr>
            <w:tcW w:w="2880" w:type="dxa"/>
            <w:vAlign w:val="center"/>
          </w:tcPr>
          <w:p w14:paraId="2B6C4BC6">
            <w:r>
              <w:rPr>
                <w:rFonts w:hint="eastAsia"/>
              </w:rPr>
              <w:t>1.理解货币需求的含义和分类，掌了解通货膨胀的常见分类；</w:t>
            </w:r>
          </w:p>
          <w:p w14:paraId="725E58E0">
            <w:r>
              <w:rPr>
                <w:rFonts w:hint="eastAsia"/>
              </w:rPr>
              <w:t>2.理解通货膨胀、通货紧缩的含义；</w:t>
            </w:r>
          </w:p>
          <w:p w14:paraId="5B4D327C">
            <w:r>
              <w:rPr>
                <w:rFonts w:hint="eastAsia"/>
              </w:rPr>
              <w:t>3.掌握通货膨胀的衡量标志；治理通货膨胀、通货紧缩的方案，握影响货币需求的因素。</w:t>
            </w:r>
          </w:p>
        </w:tc>
        <w:tc>
          <w:tcPr>
            <w:tcW w:w="2682" w:type="dxa"/>
            <w:vAlign w:val="center"/>
          </w:tcPr>
          <w:p w14:paraId="1553F1A3">
            <w:r>
              <w:rPr>
                <w:rFonts w:hint="eastAsia"/>
              </w:rPr>
              <w:t>1.提供经济业务资料，指导学生学习，最后进行归纳总结；</w:t>
            </w:r>
          </w:p>
          <w:p w14:paraId="5AC37CA6">
            <w:r>
              <w:rPr>
                <w:rFonts w:hint="eastAsia"/>
              </w:rPr>
              <w:t>2.多媒体课件演示相关内容。</w:t>
            </w:r>
          </w:p>
          <w:p w14:paraId="04813FFB">
            <w:r>
              <w:rPr>
                <w:rFonts w:hint="eastAsia"/>
              </w:rPr>
              <w:t>3</w:t>
            </w:r>
            <w:r>
              <w:t>.</w:t>
            </w:r>
            <w:r>
              <w:rPr>
                <w:rFonts w:hint="eastAsia"/>
              </w:rPr>
              <w:t>培养学生的爱国主义情怀，深入了解我国金融市场体系。</w:t>
            </w:r>
          </w:p>
        </w:tc>
        <w:tc>
          <w:tcPr>
            <w:tcW w:w="724" w:type="dxa"/>
            <w:vAlign w:val="center"/>
          </w:tcPr>
          <w:p w14:paraId="40008F12">
            <w:pPr>
              <w:adjustRightInd w:val="0"/>
              <w:jc w:val="center"/>
            </w:pPr>
            <w:r>
              <w:rPr>
                <w:rFonts w:hint="eastAsia"/>
              </w:rPr>
              <w:t>4</w:t>
            </w:r>
          </w:p>
        </w:tc>
      </w:tr>
      <w:tr w14:paraId="1A7B0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4CE63A8">
            <w:pPr>
              <w:adjustRightInd w:val="0"/>
              <w:jc w:val="center"/>
              <w:rPr>
                <w:rFonts w:cs="Times New Roman"/>
              </w:rPr>
            </w:pPr>
            <w:r>
              <w:rPr>
                <w:rFonts w:hint="eastAsia" w:cs="Times New Roman"/>
              </w:rPr>
              <w:t>7</w:t>
            </w:r>
          </w:p>
        </w:tc>
        <w:tc>
          <w:tcPr>
            <w:tcW w:w="1089" w:type="dxa"/>
            <w:vAlign w:val="center"/>
          </w:tcPr>
          <w:p w14:paraId="5211D40A">
            <w:pPr>
              <w:adjustRightInd w:val="0"/>
              <w:jc w:val="center"/>
              <w:rPr>
                <w:rFonts w:cs="Times New Roman"/>
              </w:rPr>
            </w:pPr>
            <w:r>
              <w:rPr>
                <w:rFonts w:hint="eastAsia" w:cs="Times New Roman"/>
              </w:rPr>
              <w:t>货币政策</w:t>
            </w:r>
          </w:p>
        </w:tc>
        <w:tc>
          <w:tcPr>
            <w:tcW w:w="2880" w:type="dxa"/>
            <w:vAlign w:val="center"/>
          </w:tcPr>
          <w:p w14:paraId="4A07D234">
            <w:pPr>
              <w:spacing w:line="360" w:lineRule="exact"/>
              <w:rPr>
                <w:rFonts w:cs="Times New Roman"/>
              </w:rPr>
            </w:pPr>
            <w:r>
              <w:rPr>
                <w:rFonts w:hint="eastAsia" w:cs="Times New Roman"/>
              </w:rPr>
              <w:t>1</w:t>
            </w:r>
            <w:r>
              <w:rPr>
                <w:rFonts w:cs="Times New Roman"/>
              </w:rPr>
              <w:t>.</w:t>
            </w:r>
            <w:r>
              <w:rPr>
                <w:rFonts w:hint="eastAsia" w:cs="Times New Roman"/>
              </w:rPr>
              <w:t>能解释我国货币政策运用情况；</w:t>
            </w:r>
          </w:p>
          <w:p w14:paraId="5D286D6C">
            <w:pPr>
              <w:spacing w:line="360" w:lineRule="exact"/>
              <w:rPr>
                <w:rFonts w:cs="Times New Roman"/>
              </w:rPr>
            </w:pPr>
            <w:r>
              <w:rPr>
                <w:rFonts w:cs="Times New Roman"/>
              </w:rPr>
              <w:t>2.</w:t>
            </w:r>
            <w:r>
              <w:rPr>
                <w:rFonts w:hint="eastAsia" w:cs="Times New Roman"/>
              </w:rPr>
              <w:t>能初步判断我国中央银行的货币政策趋势。</w:t>
            </w:r>
          </w:p>
        </w:tc>
        <w:tc>
          <w:tcPr>
            <w:tcW w:w="2682" w:type="dxa"/>
            <w:vAlign w:val="center"/>
          </w:tcPr>
          <w:p w14:paraId="3BD4DE02">
            <w:pPr>
              <w:spacing w:line="360" w:lineRule="exact"/>
              <w:rPr>
                <w:rFonts w:cs="Times New Roman"/>
              </w:rPr>
            </w:pPr>
            <w:r>
              <w:rPr>
                <w:rFonts w:cs="Times New Roman"/>
              </w:rPr>
              <w:t>1.</w:t>
            </w:r>
            <w:r>
              <w:rPr>
                <w:rFonts w:hint="eastAsia" w:cs="Times New Roman"/>
              </w:rPr>
              <w:t>理解货币政策的最终目标及其含义；</w:t>
            </w:r>
          </w:p>
          <w:p w14:paraId="65288BA5">
            <w:pPr>
              <w:spacing w:line="360" w:lineRule="exact"/>
              <w:rPr>
                <w:rFonts w:cs="Times New Roman"/>
              </w:rPr>
            </w:pPr>
            <w:r>
              <w:rPr>
                <w:rFonts w:cs="Times New Roman"/>
              </w:rPr>
              <w:t>2.</w:t>
            </w:r>
            <w:r>
              <w:rPr>
                <w:rFonts w:hint="eastAsia" w:cs="Times New Roman"/>
              </w:rPr>
              <w:t>了解货币政策；</w:t>
            </w:r>
          </w:p>
          <w:p w14:paraId="6D224F07">
            <w:pPr>
              <w:spacing w:line="360" w:lineRule="exact"/>
              <w:rPr>
                <w:rFonts w:cs="Times New Roman"/>
              </w:rPr>
            </w:pPr>
            <w:r>
              <w:rPr>
                <w:rFonts w:hint="eastAsia" w:cs="Times New Roman"/>
              </w:rPr>
              <w:t>3</w:t>
            </w:r>
            <w:r>
              <w:rPr>
                <w:rFonts w:cs="Times New Roman"/>
              </w:rPr>
              <w:t>.</w:t>
            </w:r>
            <w:r>
              <w:rPr>
                <w:rFonts w:hint="eastAsia" w:cs="Times New Roman"/>
              </w:rPr>
              <w:t>掌握货币政策的主要工具。</w:t>
            </w:r>
          </w:p>
          <w:p w14:paraId="0C7E0FC6">
            <w:pPr>
              <w:spacing w:line="360" w:lineRule="exact"/>
              <w:rPr>
                <w:rFonts w:cs="Times New Roman"/>
              </w:rPr>
            </w:pPr>
            <w:r>
              <w:rPr>
                <w:rFonts w:hint="eastAsia" w:cs="Times New Roman"/>
              </w:rPr>
              <w:t>4</w:t>
            </w:r>
            <w:r>
              <w:rPr>
                <w:rFonts w:cs="Times New Roman"/>
              </w:rPr>
              <w:t>.</w:t>
            </w:r>
            <w:r>
              <w:rPr>
                <w:rFonts w:hint="eastAsia" w:cs="Times New Roman"/>
              </w:rPr>
              <w:t>培养学生正确的辩证观、发展观、矛盾观。</w:t>
            </w:r>
          </w:p>
        </w:tc>
        <w:tc>
          <w:tcPr>
            <w:tcW w:w="724" w:type="dxa"/>
            <w:vAlign w:val="center"/>
          </w:tcPr>
          <w:p w14:paraId="70444571">
            <w:pPr>
              <w:adjustRightInd w:val="0"/>
              <w:jc w:val="center"/>
              <w:rPr>
                <w:rFonts w:cs="Times New Roman"/>
              </w:rPr>
            </w:pPr>
            <w:r>
              <w:rPr>
                <w:rFonts w:hint="eastAsia" w:cs="Times New Roman"/>
              </w:rPr>
              <w:t>4</w:t>
            </w:r>
          </w:p>
        </w:tc>
      </w:tr>
      <w:tr w14:paraId="794D5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2DD6C10">
            <w:pPr>
              <w:adjustRightInd w:val="0"/>
              <w:jc w:val="center"/>
              <w:rPr>
                <w:rFonts w:cs="Times New Roman"/>
              </w:rPr>
            </w:pPr>
            <w:r>
              <w:rPr>
                <w:rFonts w:hint="eastAsia"/>
              </w:rPr>
              <w:t>8</w:t>
            </w:r>
          </w:p>
        </w:tc>
        <w:tc>
          <w:tcPr>
            <w:tcW w:w="1089" w:type="dxa"/>
            <w:vAlign w:val="center"/>
          </w:tcPr>
          <w:p w14:paraId="06DBB819">
            <w:pPr>
              <w:adjustRightInd w:val="0"/>
              <w:jc w:val="center"/>
              <w:rPr>
                <w:rFonts w:cs="Times New Roman"/>
              </w:rPr>
            </w:pPr>
            <w:r>
              <w:rPr>
                <w:rFonts w:hint="eastAsia"/>
              </w:rPr>
              <w:t>国际金融</w:t>
            </w:r>
          </w:p>
        </w:tc>
        <w:tc>
          <w:tcPr>
            <w:tcW w:w="2880" w:type="dxa"/>
            <w:vAlign w:val="center"/>
          </w:tcPr>
          <w:p w14:paraId="17A5E6FA">
            <w:pPr>
              <w:spacing w:line="360" w:lineRule="exact"/>
              <w:rPr>
                <w:rFonts w:cs="Times New Roman"/>
              </w:rPr>
            </w:pPr>
            <w:r>
              <w:rPr>
                <w:rFonts w:hint="eastAsia"/>
              </w:rPr>
              <w:t>1.理解外汇的概念与种类，掌握汇率的标价方法和分类。</w:t>
            </w:r>
          </w:p>
        </w:tc>
        <w:tc>
          <w:tcPr>
            <w:tcW w:w="2682" w:type="dxa"/>
            <w:vAlign w:val="center"/>
          </w:tcPr>
          <w:p w14:paraId="7158D65C">
            <w:r>
              <w:rPr>
                <w:rFonts w:hint="eastAsia"/>
              </w:rPr>
              <w:t>1.多媒体课件，理解外汇的案例；</w:t>
            </w:r>
          </w:p>
          <w:p w14:paraId="685AF381">
            <w:pPr>
              <w:spacing w:line="360" w:lineRule="exact"/>
            </w:pPr>
            <w:r>
              <w:rPr>
                <w:rFonts w:hint="eastAsia"/>
              </w:rPr>
              <w:t>2.案例展示汇率的标价。</w:t>
            </w:r>
          </w:p>
          <w:p w14:paraId="3E7238A3">
            <w:pPr>
              <w:spacing w:line="360" w:lineRule="exact"/>
              <w:rPr>
                <w:rFonts w:cs="Times New Roman"/>
              </w:rPr>
            </w:pPr>
            <w:r>
              <w:rPr>
                <w:rFonts w:hint="eastAsia"/>
              </w:rPr>
              <w:t>3</w:t>
            </w:r>
            <w:r>
              <w:t>.</w:t>
            </w:r>
            <w:r>
              <w:rPr>
                <w:rFonts w:hint="eastAsia"/>
              </w:rPr>
              <w:t>世界观、培养学生的社会主义和爱国主义情怀、劳动。</w:t>
            </w:r>
          </w:p>
        </w:tc>
        <w:tc>
          <w:tcPr>
            <w:tcW w:w="724" w:type="dxa"/>
            <w:vAlign w:val="center"/>
          </w:tcPr>
          <w:p w14:paraId="57164C59">
            <w:pPr>
              <w:adjustRightInd w:val="0"/>
              <w:jc w:val="center"/>
              <w:rPr>
                <w:rFonts w:cs="Times New Roman"/>
              </w:rPr>
            </w:pPr>
            <w:r>
              <w:rPr>
                <w:rFonts w:hint="eastAsia" w:cs="Times New Roman"/>
              </w:rPr>
              <w:t>4</w:t>
            </w:r>
          </w:p>
        </w:tc>
      </w:tr>
    </w:tbl>
    <w:p w14:paraId="4A645F37">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51735F98">
      <w:pPr>
        <w:pStyle w:val="17"/>
        <w:spacing w:after="0" w:line="400" w:lineRule="exact"/>
        <w:ind w:firstLine="480" w:firstLineChars="200"/>
        <w:rPr>
          <w:sz w:val="24"/>
          <w:szCs w:val="24"/>
        </w:rPr>
      </w:pPr>
      <w:r>
        <w:rPr>
          <w:rFonts w:hint="eastAsia"/>
          <w:sz w:val="24"/>
          <w:szCs w:val="24"/>
        </w:rPr>
        <w:t>1.教学方法</w:t>
      </w:r>
    </w:p>
    <w:p w14:paraId="3CD2D8D5">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510F6374">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7F8D46BC">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0835A750">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0EE092D2">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408982F9">
      <w:pPr>
        <w:pStyle w:val="17"/>
        <w:spacing w:after="0" w:line="400" w:lineRule="exact"/>
        <w:ind w:firstLine="480" w:firstLineChars="200"/>
        <w:rPr>
          <w:sz w:val="24"/>
          <w:szCs w:val="24"/>
        </w:rPr>
      </w:pPr>
      <w:r>
        <w:rPr>
          <w:rFonts w:hint="eastAsia"/>
          <w:sz w:val="24"/>
          <w:szCs w:val="24"/>
        </w:rPr>
        <w:t>2.评价方法</w:t>
      </w:r>
    </w:p>
    <w:p w14:paraId="7C80E6E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学习领域最终成绩由单人成绩和小组成绩两部分组成，通过对学习过程和学习结果的评价，对学生知识、技能和能力进行综合考核。其中，理论知识和个人训练项目由教师通过对学生学习过程和结果的综合考核，得出学习成绩分值，该部分成绩占50%。分组进行的训练由教师根据对各小组操作过程和结果的综合考核给出各小组成绩，企业实地参观实践的分数计入小组成绩，小组内按照成员各自的表现和贡献互评，最后由组长确定出各成员的得分，上报任课教师。任课教师将每个学生的单人成绩与小组分配成绩相加，得出该课程的最终考核成绩。</w:t>
      </w:r>
    </w:p>
    <w:p w14:paraId="1236FA5E">
      <w:pPr>
        <w:pStyle w:val="17"/>
        <w:spacing w:after="0" w:line="400" w:lineRule="exact"/>
        <w:ind w:firstLine="480" w:firstLineChars="200"/>
        <w:rPr>
          <w:sz w:val="24"/>
          <w:szCs w:val="24"/>
        </w:rPr>
      </w:pPr>
      <w:r>
        <w:rPr>
          <w:rFonts w:hint="eastAsia"/>
          <w:sz w:val="24"/>
          <w:szCs w:val="24"/>
        </w:rPr>
        <w:t>3.教学条件</w:t>
      </w:r>
    </w:p>
    <w:p w14:paraId="1A0450DD">
      <w:pPr>
        <w:pStyle w:val="17"/>
        <w:spacing w:after="0" w:line="400" w:lineRule="exact"/>
        <w:ind w:firstLine="480" w:firstLineChars="200"/>
        <w:rPr>
          <w:rFonts w:ascii="仿宋_GB2312"/>
          <w:sz w:val="24"/>
          <w:szCs w:val="24"/>
        </w:rPr>
      </w:pPr>
      <w:r>
        <w:rPr>
          <w:rFonts w:hint="eastAsia"/>
          <w:bCs/>
          <w:sz w:val="24"/>
          <w:szCs w:val="24"/>
        </w:rPr>
        <w:t>（1）校内实践教学条件要求。</w:t>
      </w:r>
      <w:r>
        <w:rPr>
          <w:rFonts w:hint="eastAsia" w:ascii="仿宋_GB2312"/>
          <w:sz w:val="24"/>
          <w:szCs w:val="24"/>
        </w:rPr>
        <w:t>校内有一支结构合理、素质优良、具有良好职业修养的“双师素质”教师队伍，校外有一批既具有丰富的会计实际工作经验，又具有一定理论基础的金融专家参与学习领域课程标准的制定。</w:t>
      </w:r>
    </w:p>
    <w:p w14:paraId="621BF1D3">
      <w:pPr>
        <w:pStyle w:val="17"/>
        <w:spacing w:after="0" w:line="400" w:lineRule="exact"/>
        <w:ind w:firstLine="480" w:firstLineChars="200"/>
        <w:rPr>
          <w:rFonts w:ascii="仿宋_GB2312"/>
          <w:sz w:val="24"/>
          <w:szCs w:val="24"/>
        </w:rPr>
      </w:pPr>
      <w:r>
        <w:rPr>
          <w:rFonts w:hint="eastAsia"/>
          <w:bCs/>
          <w:sz w:val="24"/>
          <w:szCs w:val="24"/>
        </w:rPr>
        <w:t>（2）校外实习基地条件要求。</w:t>
      </w:r>
      <w:r>
        <w:rPr>
          <w:rFonts w:hint="eastAsia" w:ascii="仿宋_GB2312"/>
          <w:sz w:val="24"/>
          <w:szCs w:val="24"/>
        </w:rPr>
        <w:t>配备金融业务仿真核算资料、金融实训操作模拟实训福斯特软件，可在机上进行无纸化操作。具有最新配置手工模拟实训室，有一定数量的紧密型工学结合的校外实训基地。</w:t>
      </w:r>
    </w:p>
    <w:p w14:paraId="060ED4FB">
      <w:pPr>
        <w:pStyle w:val="17"/>
        <w:spacing w:after="0" w:line="400" w:lineRule="exact"/>
        <w:ind w:firstLine="480" w:firstLineChars="200"/>
        <w:rPr>
          <w:bCs/>
          <w:sz w:val="24"/>
          <w:szCs w:val="24"/>
        </w:rPr>
      </w:pPr>
      <w:r>
        <w:rPr>
          <w:rFonts w:hint="eastAsia"/>
          <w:bCs/>
          <w:sz w:val="24"/>
          <w:szCs w:val="24"/>
        </w:rPr>
        <w:t>4.教材编选</w:t>
      </w:r>
    </w:p>
    <w:p w14:paraId="35ADCB4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45A96C5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（2）教材的教学内容能够很好地反映金融认知的新颖性、科学性和实用性。注重教学改革成果。</w:t>
      </w:r>
    </w:p>
    <w:p w14:paraId="434EB46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0BBEAD3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网络教学环境。学校应建成校园网，并将终端连入学校的各多媒体教室、图书馆、学生公寓为开展《金融认知》的网络教学提供有利的教学环境，要初步建立《金融认知》课程网站，实现本课程教学辅助资源的共享以及教与学的互动。即学生可通过网络了解本课程的主要学习内容、重点与难点，获得学习方法上的指导和帮助，也可通过浏览网络教学课件来直观地了解教学过程。</w:t>
      </w:r>
    </w:p>
    <w:p w14:paraId="70DFAD3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5）教学课件使用与开发。根据《金融认知》教学内容和教学手段改革的需要，课程组应精心制作与实践教学内容相吻合的《金融认知》多媒体教学课件。课件内容要丰富、信息量要大，形式生动活泼，演示灵活方便，将抽象的、难于理解的内容化成直观的、易于理解的内容，使学生能深刻地领会金融的基本思想、基本理论及基本方法。这样不仅有效地解决了学时少，内容多的矛盾，而且更有利于实施启发式教学，激发学生的学习兴趣，很好地培养学生的实践能力和独立思考以探求真理的能力。</w:t>
      </w:r>
    </w:p>
    <w:p w14:paraId="6AF84232">
      <w:pPr>
        <w:spacing w:line="400" w:lineRule="exact"/>
        <w:ind w:firstLine="480" w:firstLineChars="200"/>
        <w:rPr>
          <w:rFonts w:ascii="黑体" w:hAnsi="黑体" w:eastAsia="黑体"/>
          <w:sz w:val="28"/>
          <w:szCs w:val="28"/>
        </w:rPr>
      </w:pPr>
      <w:r>
        <w:rPr>
          <w:rFonts w:hint="eastAsia" w:ascii="仿宋_GB2312" w:hAnsi="Times New Roman" w:eastAsia="仿宋_GB2312" w:cs="Times New Roman"/>
          <w:sz w:val="24"/>
          <w:szCs w:val="24"/>
        </w:rPr>
        <w:t>（6）多媒体教学手段。多媒体教学手段主要包括电子课件、投影、视频、音频、动画演示、多媒体教学软件，为学生提供金融业务示范操作过程演示，把学生带入一个虚拟现实的学习场景中。学生对照这些演示操作就能比较全面地了解实际工作中的操作流程，并按照操作演示的指引完成模拟操作。</w:t>
      </w:r>
    </w:p>
    <w:p w14:paraId="21982501">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3FE5D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55116B05">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0E753C4B">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38F6137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7690F017">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7E965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FE39E7E">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7C175FDB">
            <w:pPr>
              <w:rPr>
                <w:snapToGrid w:val="0"/>
                <w:color w:val="000000"/>
                <w:lang w:eastAsia="en-US"/>
              </w:rPr>
            </w:pPr>
            <w:r>
              <w:rPr>
                <w:rFonts w:hint="eastAsia"/>
                <w:snapToGrid w:val="0"/>
                <w:color w:val="000000"/>
                <w:lang w:eastAsia="en-US"/>
              </w:rPr>
              <w:t>1.1货币的概念与职能；</w:t>
            </w:r>
          </w:p>
          <w:p w14:paraId="08BFF6A4">
            <w:pPr>
              <w:rPr>
                <w:rFonts w:ascii="仿宋_GB2312" w:cs="Times New Roman"/>
                <w:snapToGrid w:val="0"/>
                <w:color w:val="000000"/>
                <w:lang w:eastAsia="en-US"/>
              </w:rPr>
            </w:pPr>
            <w:r>
              <w:rPr>
                <w:rFonts w:hint="eastAsia"/>
                <w:snapToGrid w:val="0"/>
                <w:color w:val="000000"/>
                <w:lang w:eastAsia="en-US"/>
              </w:rPr>
              <w:t>1.2货币形式。</w:t>
            </w:r>
          </w:p>
        </w:tc>
        <w:tc>
          <w:tcPr>
            <w:tcW w:w="1980" w:type="dxa"/>
            <w:tcMar>
              <w:top w:w="0" w:type="dxa"/>
              <w:left w:w="108" w:type="dxa"/>
              <w:bottom w:w="0" w:type="dxa"/>
              <w:right w:w="108" w:type="dxa"/>
            </w:tcMar>
            <w:vAlign w:val="center"/>
          </w:tcPr>
          <w:p w14:paraId="566EFE7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FF56B3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6EA7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0AE550CC">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425A0A4C">
            <w:pPr>
              <w:rPr>
                <w:snapToGrid w:val="0"/>
                <w:color w:val="000000"/>
                <w:lang w:eastAsia="en-US"/>
              </w:rPr>
            </w:pPr>
            <w:r>
              <w:rPr>
                <w:rFonts w:hint="eastAsia"/>
                <w:snapToGrid w:val="0"/>
                <w:color w:val="000000"/>
                <w:lang w:eastAsia="en-US"/>
              </w:rPr>
              <w:t>1.3货币制度；</w:t>
            </w:r>
          </w:p>
          <w:p w14:paraId="6F98E7D0">
            <w:pPr>
              <w:adjustRightInd w:val="0"/>
              <w:rPr>
                <w:rFonts w:ascii="仿宋_GB2312" w:cs="Times New Roman"/>
                <w:snapToGrid w:val="0"/>
                <w:color w:val="000000"/>
                <w:lang w:eastAsia="en-US"/>
              </w:rPr>
            </w:pPr>
            <w:r>
              <w:rPr>
                <w:rFonts w:hint="eastAsia"/>
                <w:snapToGrid w:val="0"/>
                <w:color w:val="000000"/>
                <w:lang w:eastAsia="en-US"/>
              </w:rPr>
              <w:t>1.4货币流通。</w:t>
            </w:r>
          </w:p>
        </w:tc>
        <w:tc>
          <w:tcPr>
            <w:tcW w:w="1980" w:type="dxa"/>
            <w:tcMar>
              <w:top w:w="0" w:type="dxa"/>
              <w:left w:w="108" w:type="dxa"/>
              <w:bottom w:w="0" w:type="dxa"/>
              <w:right w:w="108" w:type="dxa"/>
            </w:tcMar>
            <w:vAlign w:val="center"/>
          </w:tcPr>
          <w:p w14:paraId="6967BF9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B09F18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766FE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13D2887F">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3</w:t>
            </w:r>
          </w:p>
        </w:tc>
        <w:tc>
          <w:tcPr>
            <w:tcW w:w="3079" w:type="dxa"/>
            <w:tcMar>
              <w:top w:w="0" w:type="dxa"/>
              <w:left w:w="108" w:type="dxa"/>
              <w:bottom w:w="0" w:type="dxa"/>
              <w:right w:w="108" w:type="dxa"/>
            </w:tcMar>
            <w:vAlign w:val="center"/>
          </w:tcPr>
          <w:p w14:paraId="1D643D83">
            <w:pPr>
              <w:adjustRightInd w:val="0"/>
              <w:rPr>
                <w:rFonts w:ascii="仿宋_GB2312" w:cs="Times New Roman"/>
                <w:snapToGrid w:val="0"/>
                <w:color w:val="000000"/>
                <w:lang w:eastAsia="en-US"/>
              </w:rPr>
            </w:pPr>
            <w:r>
              <w:rPr>
                <w:rFonts w:hint="eastAsia" w:ascii="仿宋_GB2312" w:cs="Times New Roman"/>
                <w:snapToGrid w:val="0"/>
                <w:color w:val="000000"/>
                <w:lang w:eastAsia="en-US"/>
              </w:rPr>
              <w:t>2.1信用和信用工具。</w:t>
            </w:r>
          </w:p>
        </w:tc>
        <w:tc>
          <w:tcPr>
            <w:tcW w:w="1980" w:type="dxa"/>
            <w:tcMar>
              <w:top w:w="0" w:type="dxa"/>
              <w:left w:w="108" w:type="dxa"/>
              <w:bottom w:w="0" w:type="dxa"/>
              <w:right w:w="108" w:type="dxa"/>
            </w:tcMar>
            <w:vAlign w:val="center"/>
          </w:tcPr>
          <w:p w14:paraId="0897F82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ABF21D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讲授</w:t>
            </w:r>
          </w:p>
        </w:tc>
      </w:tr>
      <w:tr w14:paraId="02B2F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77428C5">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4</w:t>
            </w:r>
          </w:p>
        </w:tc>
        <w:tc>
          <w:tcPr>
            <w:tcW w:w="3079" w:type="dxa"/>
            <w:tcMar>
              <w:top w:w="0" w:type="dxa"/>
              <w:left w:w="108" w:type="dxa"/>
              <w:bottom w:w="0" w:type="dxa"/>
              <w:right w:w="108" w:type="dxa"/>
            </w:tcMar>
            <w:vAlign w:val="center"/>
          </w:tcPr>
          <w:p w14:paraId="24B7A279">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2.2利息和利率。</w:t>
            </w:r>
          </w:p>
        </w:tc>
        <w:tc>
          <w:tcPr>
            <w:tcW w:w="1980" w:type="dxa"/>
            <w:tcMar>
              <w:top w:w="0" w:type="dxa"/>
              <w:left w:w="108" w:type="dxa"/>
              <w:bottom w:w="0" w:type="dxa"/>
              <w:right w:w="108" w:type="dxa"/>
            </w:tcMar>
            <w:vAlign w:val="center"/>
          </w:tcPr>
          <w:p w14:paraId="731A6B6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23B493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4F0D8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5CA384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703A80B2">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3.1银行金融机构</w:t>
            </w:r>
          </w:p>
        </w:tc>
        <w:tc>
          <w:tcPr>
            <w:tcW w:w="1980" w:type="dxa"/>
            <w:tcMar>
              <w:top w:w="0" w:type="dxa"/>
              <w:left w:w="108" w:type="dxa"/>
              <w:bottom w:w="0" w:type="dxa"/>
              <w:right w:w="108" w:type="dxa"/>
            </w:tcMar>
            <w:vAlign w:val="center"/>
          </w:tcPr>
          <w:p w14:paraId="11A46793">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5A26F65B">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3F8A2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914C57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21C6BDD3">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3.2非银行金融机构</w:t>
            </w:r>
          </w:p>
        </w:tc>
        <w:tc>
          <w:tcPr>
            <w:tcW w:w="1980" w:type="dxa"/>
            <w:tcMar>
              <w:top w:w="0" w:type="dxa"/>
              <w:left w:w="108" w:type="dxa"/>
              <w:bottom w:w="0" w:type="dxa"/>
              <w:right w:w="108" w:type="dxa"/>
            </w:tcMar>
            <w:vAlign w:val="center"/>
          </w:tcPr>
          <w:p w14:paraId="47762F1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D519E08">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0BD69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8B0AB3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0DBC190B">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4.1商业银行</w:t>
            </w:r>
          </w:p>
        </w:tc>
        <w:tc>
          <w:tcPr>
            <w:tcW w:w="1980" w:type="dxa"/>
            <w:tcMar>
              <w:top w:w="0" w:type="dxa"/>
              <w:left w:w="108" w:type="dxa"/>
              <w:bottom w:w="0" w:type="dxa"/>
              <w:right w:w="108" w:type="dxa"/>
            </w:tcMar>
            <w:vAlign w:val="center"/>
          </w:tcPr>
          <w:p w14:paraId="78D69F0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AEB678C">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254E0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750383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4F60B40D">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4.2商业银行的主要业务</w:t>
            </w:r>
          </w:p>
        </w:tc>
        <w:tc>
          <w:tcPr>
            <w:tcW w:w="1980" w:type="dxa"/>
            <w:tcMar>
              <w:top w:w="0" w:type="dxa"/>
              <w:left w:w="108" w:type="dxa"/>
              <w:bottom w:w="0" w:type="dxa"/>
              <w:right w:w="108" w:type="dxa"/>
            </w:tcMar>
            <w:vAlign w:val="center"/>
          </w:tcPr>
          <w:p w14:paraId="0937B8B7">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9DB9AFD">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21BCE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1597DE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3FA01524">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4.3商业银行的信用创造</w:t>
            </w:r>
          </w:p>
        </w:tc>
        <w:tc>
          <w:tcPr>
            <w:tcW w:w="1980" w:type="dxa"/>
            <w:tcMar>
              <w:top w:w="0" w:type="dxa"/>
              <w:left w:w="108" w:type="dxa"/>
              <w:bottom w:w="0" w:type="dxa"/>
              <w:right w:w="108" w:type="dxa"/>
            </w:tcMar>
            <w:vAlign w:val="center"/>
          </w:tcPr>
          <w:p w14:paraId="5D1559E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698947A8">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011D8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B7A83B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2B4EE5C5">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5.1中央银行</w:t>
            </w:r>
          </w:p>
        </w:tc>
        <w:tc>
          <w:tcPr>
            <w:tcW w:w="1980" w:type="dxa"/>
            <w:tcMar>
              <w:top w:w="0" w:type="dxa"/>
              <w:left w:w="108" w:type="dxa"/>
              <w:bottom w:w="0" w:type="dxa"/>
              <w:right w:w="108" w:type="dxa"/>
            </w:tcMar>
            <w:vAlign w:val="center"/>
          </w:tcPr>
          <w:p w14:paraId="521BCDB1">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A714853">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56560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CA7B84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2F0EEBB5">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期中考试</w:t>
            </w:r>
          </w:p>
        </w:tc>
        <w:tc>
          <w:tcPr>
            <w:tcW w:w="1980" w:type="dxa"/>
            <w:tcMar>
              <w:top w:w="0" w:type="dxa"/>
              <w:left w:w="108" w:type="dxa"/>
              <w:bottom w:w="0" w:type="dxa"/>
              <w:right w:w="108" w:type="dxa"/>
            </w:tcMar>
            <w:vAlign w:val="center"/>
          </w:tcPr>
          <w:p w14:paraId="3BA7F5BD">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2F6051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考试</w:t>
            </w:r>
          </w:p>
        </w:tc>
      </w:tr>
      <w:tr w14:paraId="5FEC3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1457B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264F333F">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5.2中央银行的组织形式</w:t>
            </w:r>
          </w:p>
        </w:tc>
        <w:tc>
          <w:tcPr>
            <w:tcW w:w="1980" w:type="dxa"/>
            <w:tcMar>
              <w:top w:w="0" w:type="dxa"/>
              <w:left w:w="108" w:type="dxa"/>
              <w:bottom w:w="0" w:type="dxa"/>
              <w:right w:w="108" w:type="dxa"/>
            </w:tcMar>
            <w:vAlign w:val="center"/>
          </w:tcPr>
          <w:p w14:paraId="1833D3F5">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E9F4567">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7E60E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E101DF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66EAD02D">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5.3中央银行的主要业务</w:t>
            </w:r>
          </w:p>
        </w:tc>
        <w:tc>
          <w:tcPr>
            <w:tcW w:w="1980" w:type="dxa"/>
            <w:tcMar>
              <w:top w:w="0" w:type="dxa"/>
              <w:left w:w="108" w:type="dxa"/>
              <w:bottom w:w="0" w:type="dxa"/>
              <w:right w:w="108" w:type="dxa"/>
            </w:tcMar>
            <w:vAlign w:val="center"/>
          </w:tcPr>
          <w:p w14:paraId="0CB8865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6C9FB2A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A2C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7A97FA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1FD0A0CE">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6.1货币供给与货币需求</w:t>
            </w:r>
          </w:p>
        </w:tc>
        <w:tc>
          <w:tcPr>
            <w:tcW w:w="1980" w:type="dxa"/>
            <w:tcMar>
              <w:top w:w="0" w:type="dxa"/>
              <w:left w:w="108" w:type="dxa"/>
              <w:bottom w:w="0" w:type="dxa"/>
              <w:right w:w="108" w:type="dxa"/>
            </w:tcMar>
            <w:vAlign w:val="center"/>
          </w:tcPr>
          <w:p w14:paraId="5DEEB8A1">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095F44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62E87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E54C27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20B4A9A0">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6.2通货膨胀与通货紧缩</w:t>
            </w:r>
          </w:p>
        </w:tc>
        <w:tc>
          <w:tcPr>
            <w:tcW w:w="1980" w:type="dxa"/>
            <w:tcMar>
              <w:top w:w="0" w:type="dxa"/>
              <w:left w:w="108" w:type="dxa"/>
              <w:bottom w:w="0" w:type="dxa"/>
              <w:right w:w="108" w:type="dxa"/>
            </w:tcMar>
            <w:vAlign w:val="center"/>
          </w:tcPr>
          <w:p w14:paraId="25E1451A">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EE229AC">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439AC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7D6169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2CCC8B81">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7.1货币政策目标</w:t>
            </w:r>
          </w:p>
        </w:tc>
        <w:tc>
          <w:tcPr>
            <w:tcW w:w="1980" w:type="dxa"/>
            <w:tcMar>
              <w:top w:w="0" w:type="dxa"/>
              <w:left w:w="108" w:type="dxa"/>
              <w:bottom w:w="0" w:type="dxa"/>
              <w:right w:w="108" w:type="dxa"/>
            </w:tcMar>
            <w:vAlign w:val="center"/>
          </w:tcPr>
          <w:p w14:paraId="4E2209B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FA398D5">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56B4A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736D66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2904BFC9">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7.2使用货币政策工具</w:t>
            </w:r>
          </w:p>
        </w:tc>
        <w:tc>
          <w:tcPr>
            <w:tcW w:w="1980" w:type="dxa"/>
            <w:tcMar>
              <w:top w:w="0" w:type="dxa"/>
              <w:left w:w="108" w:type="dxa"/>
              <w:bottom w:w="0" w:type="dxa"/>
              <w:right w:w="108" w:type="dxa"/>
            </w:tcMar>
            <w:vAlign w:val="center"/>
          </w:tcPr>
          <w:p w14:paraId="57C7A01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0A1F3AC">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2729F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33456C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2DE0853F">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8.1外汇与汇率</w:t>
            </w:r>
          </w:p>
        </w:tc>
        <w:tc>
          <w:tcPr>
            <w:tcW w:w="1980" w:type="dxa"/>
            <w:tcMar>
              <w:top w:w="0" w:type="dxa"/>
              <w:left w:w="108" w:type="dxa"/>
              <w:bottom w:w="0" w:type="dxa"/>
              <w:right w:w="108" w:type="dxa"/>
            </w:tcMar>
            <w:vAlign w:val="center"/>
          </w:tcPr>
          <w:p w14:paraId="5E3F62B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D8362C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7387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BB516C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7B93C8B1">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8.2国际收支</w:t>
            </w:r>
          </w:p>
        </w:tc>
        <w:tc>
          <w:tcPr>
            <w:tcW w:w="1980" w:type="dxa"/>
            <w:tcMar>
              <w:top w:w="0" w:type="dxa"/>
              <w:left w:w="108" w:type="dxa"/>
              <w:bottom w:w="0" w:type="dxa"/>
              <w:right w:w="108" w:type="dxa"/>
            </w:tcMar>
            <w:vAlign w:val="center"/>
          </w:tcPr>
          <w:p w14:paraId="7A7D709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387E6C8">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72D5E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4CFE91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078AB3B3">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期末考试</w:t>
            </w:r>
          </w:p>
        </w:tc>
        <w:tc>
          <w:tcPr>
            <w:tcW w:w="1980" w:type="dxa"/>
            <w:tcMar>
              <w:top w:w="0" w:type="dxa"/>
              <w:left w:w="108" w:type="dxa"/>
              <w:bottom w:w="0" w:type="dxa"/>
              <w:right w:w="108" w:type="dxa"/>
            </w:tcMar>
            <w:vAlign w:val="center"/>
          </w:tcPr>
          <w:p w14:paraId="6008731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48B4051">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考试</w:t>
            </w:r>
          </w:p>
        </w:tc>
      </w:tr>
    </w:tbl>
    <w:p w14:paraId="0C1CAF03"/>
    <w:p w14:paraId="03B69A46">
      <w:pPr>
        <w:spacing w:line="400" w:lineRule="exact"/>
        <w:ind w:firstLine="480" w:firstLineChars="200"/>
        <w:rPr>
          <w:rFonts w:ascii="仿宋_GB2312" w:hAnsi="Times New Roman" w:eastAsia="仿宋_GB2312" w:cs="Times New Roman"/>
          <w:sz w:val="24"/>
          <w:szCs w:val="24"/>
        </w:rPr>
      </w:pPr>
    </w:p>
    <w:p w14:paraId="46642F63">
      <w:pPr>
        <w:spacing w:line="360" w:lineRule="auto"/>
        <w:ind w:firstLine="480" w:firstLineChars="200"/>
        <w:outlineLvl w:val="0"/>
        <w:rPr>
          <w:rFonts w:ascii="黑体" w:hAnsi="黑体" w:eastAsia="黑体"/>
          <w:sz w:val="24"/>
          <w:szCs w:val="24"/>
        </w:rPr>
      </w:pPr>
      <w:r>
        <w:rPr>
          <w:rFonts w:ascii="黑体" w:hAnsi="黑体" w:eastAsia="黑体"/>
          <w:sz w:val="24"/>
          <w:szCs w:val="24"/>
        </w:rPr>
        <w:br w:type="page"/>
      </w:r>
    </w:p>
    <w:p w14:paraId="2821FA2E">
      <w:pPr>
        <w:pStyle w:val="17"/>
        <w:spacing w:before="156" w:beforeLines="50" w:after="156" w:afterLines="50"/>
        <w:jc w:val="center"/>
        <w:outlineLvl w:val="2"/>
        <w:rPr>
          <w:rFonts w:ascii="黑体" w:hAnsi="黑体" w:eastAsia="黑体" w:cs="黑体"/>
          <w:sz w:val="30"/>
          <w:szCs w:val="30"/>
        </w:rPr>
      </w:pPr>
      <w:bookmarkStart w:id="140" w:name="_Toc32081"/>
      <w:bookmarkStart w:id="141" w:name="_Toc2180"/>
      <w:bookmarkStart w:id="142" w:name="_Toc32163"/>
      <w:r>
        <w:rPr>
          <w:rFonts w:hint="eastAsia" w:ascii="黑体" w:hAnsi="黑体" w:eastAsia="黑体" w:cs="黑体"/>
          <w:sz w:val="30"/>
          <w:szCs w:val="30"/>
        </w:rPr>
        <w:t>经济法基础课程标准</w:t>
      </w:r>
      <w:bookmarkEnd w:id="140"/>
      <w:bookmarkEnd w:id="141"/>
      <w:bookmarkEnd w:id="142"/>
    </w:p>
    <w:p w14:paraId="6CB04AB4">
      <w:pPr>
        <w:pStyle w:val="17"/>
        <w:spacing w:after="0" w:line="400" w:lineRule="exact"/>
        <w:ind w:firstLine="560" w:firstLineChars="200"/>
        <w:rPr>
          <w:rFonts w:ascii="楷体_GB2312" w:eastAsia="楷体_GB2312"/>
          <w:sz w:val="28"/>
          <w:szCs w:val="28"/>
        </w:rPr>
      </w:pPr>
    </w:p>
    <w:p w14:paraId="34708AD6">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5EAC08A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经济法基础》是会计专业开设的一门专业基础课，主要讲述与会计工作有直接联系的会计、票据、税收等方面的法律制度。经济法基础课程开设目的主要是为学生继续深入学习与理解财经类法律规范打好基础，便于该专业学生对专业课程的学习，便于法律思维的形成与分析能力的提高。为进一步学习《税务会计》、《财务管理》等其他经管类专业课程和有关实训实践活动以及今后从事财会工作打下坚实的基础，培养出具有良好法律素养和较强职业能力的高素质人才。</w:t>
      </w:r>
    </w:p>
    <w:p w14:paraId="289D6712">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05EBF161">
      <w:pPr>
        <w:pStyle w:val="17"/>
        <w:spacing w:after="0" w:line="400" w:lineRule="exact"/>
        <w:ind w:firstLine="480" w:firstLineChars="200"/>
        <w:rPr>
          <w:sz w:val="24"/>
          <w:szCs w:val="24"/>
        </w:rPr>
      </w:pPr>
      <w:r>
        <w:rPr>
          <w:rFonts w:hint="eastAsia"/>
          <w:sz w:val="24"/>
          <w:szCs w:val="24"/>
        </w:rPr>
        <w:t>1</w:t>
      </w:r>
      <w:r>
        <w:rPr>
          <w:sz w:val="24"/>
          <w:szCs w:val="24"/>
        </w:rPr>
        <w:t>.素质目标</w:t>
      </w:r>
    </w:p>
    <w:p w14:paraId="53BE8639">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（1）具有较强的语言表达、职业沟通和团队合作能力；</w:t>
      </w:r>
    </w:p>
    <w:p w14:paraId="5E281CEC">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（2）能严格公正地执行经济纪律；</w:t>
      </w:r>
    </w:p>
    <w:p w14:paraId="6033F4C5">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（3）具有良好的心理素质、诚信品质和社会责任感；</w:t>
      </w:r>
    </w:p>
    <w:p w14:paraId="28DD020C">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（4）具有踏实肯干的工作作风和主动、热情、耐心的服务意识；</w:t>
      </w:r>
    </w:p>
    <w:p w14:paraId="095E9779">
      <w:pPr>
        <w:spacing w:line="400" w:lineRule="exact"/>
        <w:ind w:firstLine="480" w:firstLineChars="200"/>
        <w:rPr>
          <w:sz w:val="24"/>
          <w:szCs w:val="24"/>
        </w:rPr>
      </w:pPr>
      <w:r>
        <w:rPr>
          <w:rFonts w:hint="eastAsia" w:ascii="仿宋_GB2312" w:hAnsi="仿宋_GB2312" w:eastAsia="仿宋_GB2312" w:cs="仿宋_GB2312"/>
          <w:sz w:val="24"/>
          <w:szCs w:val="24"/>
        </w:rPr>
        <w:t>（5）根据学习目标，独立开展社会调查能力。</w:t>
      </w:r>
    </w:p>
    <w:p w14:paraId="0E98BB2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1E22CA1D">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（1）掌握经济法律关系的主体、内容与客体；</w:t>
      </w:r>
    </w:p>
    <w:p w14:paraId="2DBD975A">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（2）掌握个人独资企业和普通合伙企业；</w:t>
      </w:r>
    </w:p>
    <w:p w14:paraId="02C66F83">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（3）掌握有限责任公司和股份有限公司的设立与组织机构；</w:t>
      </w:r>
    </w:p>
    <w:p w14:paraId="3FFA51E2">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（4）掌握外商投资法相关法律制度；</w:t>
      </w:r>
    </w:p>
    <w:p w14:paraId="374DD283">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（5）掌握著作权的期限、许可使用、转让及保护；</w:t>
      </w:r>
    </w:p>
    <w:p w14:paraId="198A3F8D">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（6）掌握合同的订立、合同的内容、合同的效力、合同的履行、合同的变更、转让和终止；</w:t>
      </w:r>
    </w:p>
    <w:p w14:paraId="54C33A6B">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（7）掌握票据法相关法律制度；</w:t>
      </w:r>
    </w:p>
    <w:p w14:paraId="7F2FB3D4">
      <w:pPr>
        <w:spacing w:line="400" w:lineRule="exact"/>
        <w:ind w:firstLine="480" w:firstLineChars="200"/>
        <w:rPr>
          <w:rFonts w:ascii="仿宋_GB2312" w:eastAsia="仿宋_GB2312" w:cs="仿宋_GB2312"/>
          <w:sz w:val="24"/>
          <w:szCs w:val="24"/>
        </w:rPr>
      </w:pPr>
      <w:r>
        <w:rPr>
          <w:rFonts w:hint="eastAsia" w:ascii="仿宋_GB2312" w:hAnsi="仿宋_GB2312" w:eastAsia="仿宋_GB2312" w:cs="仿宋_GB2312"/>
          <w:sz w:val="24"/>
          <w:szCs w:val="24"/>
        </w:rPr>
        <w:t>（8）掌握公司债权和股票相关知识。</w:t>
      </w:r>
    </w:p>
    <w:p w14:paraId="39274C43">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69DD8ED5">
      <w:pPr>
        <w:autoSpaceDE w:val="0"/>
        <w:autoSpaceDN w:val="0"/>
        <w:adjustRightInd w:val="0"/>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（1）本教材以全面提高学生综合素质为原则，强调以培养学生的能力为本位；</w:t>
      </w:r>
    </w:p>
    <w:p w14:paraId="7037819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hAnsi="仿宋_GB2312" w:eastAsia="仿宋_GB2312" w:cs="仿宋_GB2312"/>
          <w:sz w:val="24"/>
          <w:szCs w:val="24"/>
        </w:rPr>
        <w:t>（2）培养学生分析和解决实际问题的能力。</w:t>
      </w:r>
    </w:p>
    <w:p w14:paraId="0280947A">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673C0E5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72学时。</w:t>
      </w:r>
    </w:p>
    <w:p w14:paraId="5510EC07">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526B4C8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4学分。</w:t>
      </w:r>
    </w:p>
    <w:p w14:paraId="5527EE9C">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750D7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6860029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62F3B33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3A823E1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30DFBF6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45D93060">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1E951C17">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21B71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B2990FC">
            <w:pPr>
              <w:adjustRightInd w:val="0"/>
              <w:jc w:val="center"/>
              <w:rPr>
                <w:rFonts w:ascii="仿宋_GB2312" w:cs="Times New Roman"/>
              </w:rPr>
            </w:pPr>
            <w:r>
              <w:rPr>
                <w:rFonts w:hint="eastAsia"/>
              </w:rPr>
              <w:t>1</w:t>
            </w:r>
          </w:p>
        </w:tc>
        <w:tc>
          <w:tcPr>
            <w:tcW w:w="1089" w:type="dxa"/>
            <w:vAlign w:val="center"/>
          </w:tcPr>
          <w:p w14:paraId="2E65158A">
            <w:pPr>
              <w:adjustRightInd w:val="0"/>
              <w:jc w:val="center"/>
              <w:rPr>
                <w:rFonts w:ascii="仿宋_GB2312" w:cs="Times New Roman"/>
              </w:rPr>
            </w:pPr>
            <w:r>
              <w:rPr>
                <w:rFonts w:hint="eastAsia" w:ascii="Arial" w:hAnsi="Arial" w:cs="Times New Roman"/>
                <w:bCs/>
                <w:color w:val="000000"/>
              </w:rPr>
              <w:t>经济法概述</w:t>
            </w:r>
          </w:p>
        </w:tc>
        <w:tc>
          <w:tcPr>
            <w:tcW w:w="2880" w:type="dxa"/>
            <w:vAlign w:val="center"/>
          </w:tcPr>
          <w:p w14:paraId="2FBFC39C">
            <w:r>
              <w:rPr>
                <w:rFonts w:hint="eastAsia"/>
              </w:rPr>
              <w:t>1.了解法的概念、法的分类；</w:t>
            </w:r>
          </w:p>
          <w:p w14:paraId="51EA6A5D">
            <w:r>
              <w:rPr>
                <w:rFonts w:hint="eastAsia"/>
              </w:rPr>
              <w:t>2.理解经济法的概念与调整对象；</w:t>
            </w:r>
          </w:p>
          <w:p w14:paraId="59C463BE">
            <w:r>
              <w:rPr>
                <w:rFonts w:hint="eastAsia"/>
              </w:rPr>
              <w:t>3.理解经济法律关系的概念；</w:t>
            </w:r>
          </w:p>
          <w:p w14:paraId="4CA1DBFC">
            <w:r>
              <w:rPr>
                <w:rFonts w:hint="eastAsia"/>
              </w:rPr>
              <w:t>4.掌握经济法律关系的主体、内容与客体；</w:t>
            </w:r>
          </w:p>
          <w:p w14:paraId="5E3C7AD4">
            <w:pPr>
              <w:adjustRightInd w:val="0"/>
              <w:rPr>
                <w:rFonts w:ascii="仿宋_GB2312" w:cs="Times New Roman"/>
              </w:rPr>
            </w:pPr>
            <w:r>
              <w:rPr>
                <w:rFonts w:hint="eastAsia"/>
              </w:rPr>
              <w:t>5.理解代理制度与担保制度。</w:t>
            </w:r>
          </w:p>
        </w:tc>
        <w:tc>
          <w:tcPr>
            <w:tcW w:w="2682" w:type="dxa"/>
            <w:vAlign w:val="center"/>
          </w:tcPr>
          <w:p w14:paraId="4FC8714F">
            <w:r>
              <w:rPr>
                <w:rFonts w:hint="eastAsia"/>
              </w:rPr>
              <w:t>1.多媒体演示，了解法的概念；</w:t>
            </w:r>
          </w:p>
          <w:p w14:paraId="5DBB7B0B">
            <w:pPr>
              <w:adjustRightInd w:val="0"/>
            </w:pPr>
            <w:r>
              <w:rPr>
                <w:rFonts w:hint="eastAsia"/>
              </w:rPr>
              <w:t>2.通过实物或图片展示《中华人民共和国会计法》《会计基础工作规范》等资料，通过典型案例感受会计法律法规的重要性。</w:t>
            </w:r>
          </w:p>
          <w:p w14:paraId="1615EF6E">
            <w:pPr>
              <w:adjustRightInd w:val="0"/>
              <w:rPr>
                <w:rFonts w:ascii="仿宋_GB2312" w:cs="Times New Roman"/>
              </w:rPr>
            </w:pPr>
            <w:r>
              <w:rPr>
                <w:rFonts w:hint="eastAsia"/>
              </w:rPr>
              <w:t>3</w:t>
            </w:r>
            <w:r>
              <w:t>.</w:t>
            </w:r>
            <w:r>
              <w:rPr>
                <w:rFonts w:hint="eastAsia" w:ascii="Calibri" w:hAnsi="Calibri" w:cs="Times New Roman"/>
              </w:rPr>
              <w:t xml:space="preserve"> </w:t>
            </w:r>
            <w:r>
              <w:rPr>
                <w:rFonts w:hint="eastAsia"/>
              </w:rPr>
              <w:t>建立学生对于法律的意识，树立学生正确的价值观。</w:t>
            </w:r>
          </w:p>
        </w:tc>
        <w:tc>
          <w:tcPr>
            <w:tcW w:w="724" w:type="dxa"/>
            <w:vAlign w:val="center"/>
          </w:tcPr>
          <w:p w14:paraId="696FAD8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r w14:paraId="1533D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973E5A6">
            <w:pPr>
              <w:adjustRightInd w:val="0"/>
              <w:jc w:val="center"/>
              <w:rPr>
                <w:rFonts w:ascii="仿宋_GB2312" w:cs="Times New Roman"/>
              </w:rPr>
            </w:pPr>
            <w:r>
              <w:rPr>
                <w:rFonts w:hint="eastAsia" w:cs="Times New Roman"/>
              </w:rPr>
              <w:t>2</w:t>
            </w:r>
          </w:p>
        </w:tc>
        <w:tc>
          <w:tcPr>
            <w:tcW w:w="1089" w:type="dxa"/>
            <w:vAlign w:val="center"/>
          </w:tcPr>
          <w:p w14:paraId="58D1B8D6">
            <w:pPr>
              <w:adjustRightInd w:val="0"/>
              <w:jc w:val="center"/>
              <w:rPr>
                <w:rFonts w:ascii="仿宋_GB2312" w:cs="Times New Roman"/>
              </w:rPr>
            </w:pPr>
            <w:r>
              <w:rPr>
                <w:rFonts w:hint="eastAsia" w:cs="Times New Roman"/>
              </w:rPr>
              <w:t>企业法律制度</w:t>
            </w:r>
          </w:p>
        </w:tc>
        <w:tc>
          <w:tcPr>
            <w:tcW w:w="2880" w:type="dxa"/>
            <w:vAlign w:val="center"/>
          </w:tcPr>
          <w:p w14:paraId="77C63DCA">
            <w:r>
              <w:rPr>
                <w:rFonts w:hint="eastAsia"/>
              </w:rPr>
              <w:t>1.了解个人独资企业的概念、特征、设立；</w:t>
            </w:r>
          </w:p>
          <w:p w14:paraId="724A2C52">
            <w:r>
              <w:rPr>
                <w:rFonts w:hint="eastAsia"/>
              </w:rPr>
              <w:t>2.理解个人独资企业投资人及事务管理；</w:t>
            </w:r>
          </w:p>
          <w:p w14:paraId="27C593B4">
            <w:r>
              <w:rPr>
                <w:rFonts w:hint="eastAsia"/>
              </w:rPr>
              <w:t>3.理解合伙企业的概念及分类；</w:t>
            </w:r>
          </w:p>
          <w:p w14:paraId="31F8126A">
            <w:pPr>
              <w:adjustRightInd w:val="0"/>
              <w:rPr>
                <w:rFonts w:ascii="仿宋_GB2312" w:cs="Times New Roman"/>
              </w:rPr>
            </w:pPr>
            <w:r>
              <w:rPr>
                <w:rFonts w:hint="eastAsia"/>
              </w:rPr>
              <w:t>4.掌握普通合伙企业。</w:t>
            </w:r>
          </w:p>
        </w:tc>
        <w:tc>
          <w:tcPr>
            <w:tcW w:w="2682" w:type="dxa"/>
            <w:vAlign w:val="center"/>
          </w:tcPr>
          <w:p w14:paraId="757AACAB">
            <w:r>
              <w:rPr>
                <w:rFonts w:hint="eastAsia"/>
              </w:rPr>
              <w:t>1.提供部分案例，指导学生识别并判断其属于哪种公司性质；</w:t>
            </w:r>
          </w:p>
          <w:p w14:paraId="26328395">
            <w:r>
              <w:rPr>
                <w:rFonts w:hint="eastAsia"/>
              </w:rPr>
              <w:t>2.引导学生判断个人独资企业和合伙企业的区别。</w:t>
            </w:r>
          </w:p>
          <w:p w14:paraId="3688DC98">
            <w:pPr>
              <w:adjustRightInd w:val="0"/>
              <w:rPr>
                <w:rFonts w:ascii="仿宋_GB2312" w:cs="Times New Roman"/>
              </w:rPr>
            </w:pPr>
            <w:r>
              <w:rPr>
                <w:rFonts w:hint="eastAsia" w:ascii="仿宋_GB2312" w:cs="Times New Roman"/>
              </w:rPr>
              <w:t>3</w:t>
            </w:r>
            <w:r>
              <w:rPr>
                <w:rFonts w:ascii="仿宋_GB2312" w:cs="Times New Roman"/>
              </w:rPr>
              <w:t>.</w:t>
            </w:r>
            <w:r>
              <w:rPr>
                <w:rFonts w:hint="eastAsia" w:ascii="仿宋_GB2312" w:cs="Times New Roman"/>
              </w:rPr>
              <w:t>培养学生的辩证观、发展观、世界观。</w:t>
            </w:r>
          </w:p>
        </w:tc>
        <w:tc>
          <w:tcPr>
            <w:tcW w:w="724" w:type="dxa"/>
            <w:vAlign w:val="center"/>
          </w:tcPr>
          <w:p w14:paraId="6169448E">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20</w:t>
            </w:r>
          </w:p>
        </w:tc>
      </w:tr>
      <w:tr w14:paraId="01978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AD9419B">
            <w:pPr>
              <w:adjustRightInd w:val="0"/>
              <w:jc w:val="center"/>
              <w:rPr>
                <w:rFonts w:ascii="仿宋_GB2312" w:cs="Times New Roman"/>
              </w:rPr>
            </w:pPr>
            <w:r>
              <w:rPr>
                <w:rFonts w:hint="eastAsia"/>
              </w:rPr>
              <w:t>3</w:t>
            </w:r>
          </w:p>
        </w:tc>
        <w:tc>
          <w:tcPr>
            <w:tcW w:w="1089" w:type="dxa"/>
            <w:vAlign w:val="center"/>
          </w:tcPr>
          <w:p w14:paraId="244FB30A">
            <w:pPr>
              <w:adjustRightInd w:val="0"/>
              <w:jc w:val="center"/>
              <w:rPr>
                <w:rFonts w:ascii="仿宋_GB2312" w:cs="Times New Roman"/>
              </w:rPr>
            </w:pPr>
            <w:r>
              <w:rPr>
                <w:rFonts w:hint="eastAsia" w:ascii="Arial" w:hAnsi="Arial" w:cs="Times New Roman"/>
                <w:bCs/>
                <w:color w:val="000000"/>
              </w:rPr>
              <w:t>公司法律制度</w:t>
            </w:r>
          </w:p>
        </w:tc>
        <w:tc>
          <w:tcPr>
            <w:tcW w:w="2880" w:type="dxa"/>
            <w:vAlign w:val="center"/>
          </w:tcPr>
          <w:p w14:paraId="737A724F">
            <w:r>
              <w:rPr>
                <w:rFonts w:hint="eastAsia"/>
              </w:rPr>
              <w:t>1.了解公司的概念、特征、分类与登记管理；</w:t>
            </w:r>
          </w:p>
          <w:p w14:paraId="409B5274">
            <w:r>
              <w:rPr>
                <w:rFonts w:hint="eastAsia"/>
              </w:rPr>
              <w:t>2.理解公司董事、监事、高级管理人员的资格和义务；</w:t>
            </w:r>
          </w:p>
          <w:p w14:paraId="1ABE3C1F">
            <w:r>
              <w:rPr>
                <w:rFonts w:hint="eastAsia"/>
              </w:rPr>
              <w:t>3.理解有限责任公司的股权转让；</w:t>
            </w:r>
          </w:p>
          <w:p w14:paraId="54B97F3F">
            <w:pPr>
              <w:adjustRightInd w:val="0"/>
              <w:rPr>
                <w:rFonts w:ascii="仿宋_GB2312" w:cs="Times New Roman"/>
              </w:rPr>
            </w:pPr>
            <w:r>
              <w:rPr>
                <w:rFonts w:hint="eastAsia"/>
              </w:rPr>
              <w:t>4.掌握有限责任公司和股份有限公司的设立与组织机构。</w:t>
            </w:r>
          </w:p>
        </w:tc>
        <w:tc>
          <w:tcPr>
            <w:tcW w:w="2682" w:type="dxa"/>
            <w:vAlign w:val="center"/>
          </w:tcPr>
          <w:p w14:paraId="7C56EEC8">
            <w:pPr>
              <w:widowControl/>
            </w:pPr>
            <w:r>
              <w:rPr>
                <w:rFonts w:hint="eastAsia"/>
              </w:rPr>
              <w:t>1.通过多媒体课件，指导学生识别并判断有限责任公司和股份有限公司的公司性质；</w:t>
            </w:r>
          </w:p>
          <w:p w14:paraId="68F6EEF9">
            <w:pPr>
              <w:adjustRightInd w:val="0"/>
            </w:pPr>
            <w:r>
              <w:rPr>
                <w:rFonts w:hint="eastAsia"/>
              </w:rPr>
              <w:t>2.引导学生判断有限责任公司和股份有限公司的区别。</w:t>
            </w:r>
          </w:p>
          <w:p w14:paraId="1D750B32">
            <w:pPr>
              <w:adjustRightInd w:val="0"/>
              <w:rPr>
                <w:rFonts w:ascii="仿宋_GB2312" w:cs="Times New Roman"/>
              </w:rPr>
            </w:pPr>
            <w:r>
              <w:rPr>
                <w:rFonts w:hint="eastAsia"/>
              </w:rPr>
              <w:t>3</w:t>
            </w:r>
            <w:r>
              <w:t>.</w:t>
            </w:r>
            <w:r>
              <w:rPr>
                <w:rFonts w:hint="eastAsia"/>
              </w:rPr>
              <w:t>树立学生的价值观、培养良好的责任意识。</w:t>
            </w:r>
          </w:p>
        </w:tc>
        <w:tc>
          <w:tcPr>
            <w:tcW w:w="724" w:type="dxa"/>
            <w:vAlign w:val="center"/>
          </w:tcPr>
          <w:p w14:paraId="571F990A">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20</w:t>
            </w:r>
          </w:p>
        </w:tc>
      </w:tr>
      <w:tr w14:paraId="3CBF4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ABEF0E6">
            <w:pPr>
              <w:adjustRightInd w:val="0"/>
              <w:jc w:val="center"/>
              <w:rPr>
                <w:rFonts w:cs="Times New Roman"/>
              </w:rPr>
            </w:pPr>
            <w:r>
              <w:rPr>
                <w:rFonts w:hint="eastAsia" w:cs="Times New Roman"/>
              </w:rPr>
              <w:t>4</w:t>
            </w:r>
          </w:p>
        </w:tc>
        <w:tc>
          <w:tcPr>
            <w:tcW w:w="1089" w:type="dxa"/>
            <w:vAlign w:val="center"/>
          </w:tcPr>
          <w:p w14:paraId="63C2C1D5">
            <w:pPr>
              <w:adjustRightInd w:val="0"/>
              <w:jc w:val="center"/>
              <w:rPr>
                <w:rFonts w:cs="Times New Roman"/>
              </w:rPr>
            </w:pPr>
            <w:r>
              <w:rPr>
                <w:rFonts w:hint="eastAsia" w:cs="Times New Roman"/>
              </w:rPr>
              <w:t>外商投资法律制度</w:t>
            </w:r>
          </w:p>
        </w:tc>
        <w:tc>
          <w:tcPr>
            <w:tcW w:w="2880" w:type="dxa"/>
            <w:vAlign w:val="center"/>
          </w:tcPr>
          <w:p w14:paraId="734537C3">
            <w:pPr>
              <w:spacing w:line="360" w:lineRule="exact"/>
              <w:rPr>
                <w:rFonts w:cs="Times New Roman"/>
              </w:rPr>
            </w:pPr>
            <w:r>
              <w:rPr>
                <w:rFonts w:cs="Times New Roman"/>
              </w:rPr>
              <w:t>1.</w:t>
            </w:r>
            <w:r>
              <w:rPr>
                <w:rFonts w:hint="eastAsia" w:cs="Times New Roman"/>
              </w:rPr>
              <w:t>了解外商投资准入原则；</w:t>
            </w:r>
          </w:p>
          <w:p w14:paraId="190F7E2F">
            <w:pPr>
              <w:widowControl/>
            </w:pPr>
            <w:r>
              <w:rPr>
                <w:rFonts w:cs="Times New Roman"/>
              </w:rPr>
              <w:t>2.</w:t>
            </w:r>
            <w:r>
              <w:rPr>
                <w:rFonts w:hint="eastAsia" w:cs="Times New Roman"/>
              </w:rPr>
              <w:t>掌握外商投资促进、投资保护、投资管理等相关制度；</w:t>
            </w:r>
          </w:p>
        </w:tc>
        <w:tc>
          <w:tcPr>
            <w:tcW w:w="2682" w:type="dxa"/>
            <w:vAlign w:val="center"/>
          </w:tcPr>
          <w:p w14:paraId="4272E5C0">
            <w:pPr>
              <w:widowControl/>
            </w:pPr>
            <w:r>
              <w:rPr>
                <w:rFonts w:hint="eastAsia"/>
              </w:rPr>
              <w:t>1.通过多媒体课件，指导学生识别并判断外商投资企业的性质；</w:t>
            </w:r>
          </w:p>
          <w:p w14:paraId="6DA213C1">
            <w:pPr>
              <w:widowControl/>
            </w:pPr>
            <w:r>
              <w:rPr>
                <w:rFonts w:hint="eastAsia"/>
              </w:rPr>
              <w:t>2.引导学生判断中外合资经营企业、中外合作经营企业和外资企业的区别。</w:t>
            </w:r>
          </w:p>
          <w:p w14:paraId="0B884C65">
            <w:pPr>
              <w:widowControl/>
            </w:pPr>
            <w:r>
              <w:rPr>
                <w:rFonts w:hint="eastAsia"/>
              </w:rPr>
              <w:t>3</w:t>
            </w:r>
            <w:r>
              <w:t>.</w:t>
            </w:r>
            <w:r>
              <w:rPr>
                <w:rFonts w:hint="eastAsia"/>
              </w:rPr>
              <w:t>树立学生正确的世界观、人生观、价值观。</w:t>
            </w:r>
          </w:p>
        </w:tc>
        <w:tc>
          <w:tcPr>
            <w:tcW w:w="724" w:type="dxa"/>
            <w:vAlign w:val="center"/>
          </w:tcPr>
          <w:p w14:paraId="219E5FB0">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10</w:t>
            </w:r>
          </w:p>
        </w:tc>
      </w:tr>
      <w:tr w14:paraId="07391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2" w:type="dxa"/>
            <w:vAlign w:val="center"/>
          </w:tcPr>
          <w:p w14:paraId="21D93005">
            <w:pPr>
              <w:adjustRightInd w:val="0"/>
              <w:jc w:val="center"/>
            </w:pPr>
            <w:r>
              <w:rPr>
                <w:rFonts w:hint="eastAsia" w:cs="Times New Roman"/>
              </w:rPr>
              <w:t>5</w:t>
            </w:r>
          </w:p>
        </w:tc>
        <w:tc>
          <w:tcPr>
            <w:tcW w:w="1089" w:type="dxa"/>
            <w:vAlign w:val="center"/>
          </w:tcPr>
          <w:p w14:paraId="556C4719">
            <w:pPr>
              <w:adjustRightInd w:val="0"/>
              <w:jc w:val="center"/>
            </w:pPr>
            <w:r>
              <w:rPr>
                <w:rFonts w:hint="eastAsia" w:cs="Times New Roman"/>
              </w:rPr>
              <w:t>票据法律制度</w:t>
            </w:r>
          </w:p>
        </w:tc>
        <w:tc>
          <w:tcPr>
            <w:tcW w:w="2880" w:type="dxa"/>
            <w:vAlign w:val="center"/>
          </w:tcPr>
          <w:p w14:paraId="2919C0FD">
            <w:pPr>
              <w:spacing w:line="360" w:lineRule="exact"/>
              <w:rPr>
                <w:rFonts w:cs="Times New Roman"/>
              </w:rPr>
            </w:pPr>
            <w:r>
              <w:rPr>
                <w:rFonts w:hint="eastAsia" w:cs="Times New Roman"/>
              </w:rPr>
              <w:t>1</w:t>
            </w:r>
            <w:r>
              <w:rPr>
                <w:rFonts w:cs="Times New Roman"/>
              </w:rPr>
              <w:t>.</w:t>
            </w:r>
            <w:r>
              <w:rPr>
                <w:rFonts w:hint="eastAsia" w:cs="Times New Roman"/>
              </w:rPr>
              <w:t>了解票据的种类和特征；</w:t>
            </w:r>
          </w:p>
          <w:p w14:paraId="130E7CD9">
            <w:pPr>
              <w:spacing w:line="360" w:lineRule="exact"/>
              <w:rPr>
                <w:rFonts w:cs="Times New Roman"/>
              </w:rPr>
            </w:pPr>
            <w:r>
              <w:rPr>
                <w:rFonts w:cs="Times New Roman"/>
              </w:rPr>
              <w:t>2.</w:t>
            </w:r>
            <w:r>
              <w:rPr>
                <w:rFonts w:hint="eastAsia" w:cs="Times New Roman"/>
              </w:rPr>
              <w:t>掌握票据法律相关制度。</w:t>
            </w:r>
          </w:p>
          <w:p w14:paraId="0D8ABDF8"/>
        </w:tc>
        <w:tc>
          <w:tcPr>
            <w:tcW w:w="2682" w:type="dxa"/>
            <w:vAlign w:val="center"/>
          </w:tcPr>
          <w:p w14:paraId="313B81AD">
            <w:pPr>
              <w:spacing w:line="360" w:lineRule="exact"/>
              <w:rPr>
                <w:rFonts w:cs="Times New Roman"/>
              </w:rPr>
            </w:pPr>
            <w:r>
              <w:rPr>
                <w:rFonts w:hint="eastAsia" w:cs="Times New Roman"/>
              </w:rPr>
              <w:t>1</w:t>
            </w:r>
            <w:r>
              <w:rPr>
                <w:rFonts w:cs="Times New Roman"/>
              </w:rPr>
              <w:t>.</w:t>
            </w:r>
            <w:r>
              <w:rPr>
                <w:rFonts w:hint="eastAsia" w:cs="Times New Roman"/>
              </w:rPr>
              <w:t>通过真实票据辨别区分几种票据规定；</w:t>
            </w:r>
          </w:p>
          <w:p w14:paraId="65C5A1F0">
            <w:r>
              <w:rPr>
                <w:rFonts w:hint="eastAsia" w:cs="Times New Roman"/>
              </w:rPr>
              <w:t>2</w:t>
            </w:r>
            <w:r>
              <w:rPr>
                <w:rFonts w:cs="Times New Roman"/>
              </w:rPr>
              <w:t>.</w:t>
            </w:r>
            <w:r>
              <w:rPr>
                <w:rFonts w:hint="eastAsia" w:cs="Times New Roman"/>
              </w:rPr>
              <w:t>通过小游戏能区分商业汇票的几种类型。</w:t>
            </w:r>
          </w:p>
        </w:tc>
        <w:tc>
          <w:tcPr>
            <w:tcW w:w="724" w:type="dxa"/>
          </w:tcPr>
          <w:p w14:paraId="7A3325C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10</w:t>
            </w:r>
          </w:p>
        </w:tc>
      </w:tr>
      <w:tr w14:paraId="2BF70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F68D569">
            <w:pPr>
              <w:adjustRightInd w:val="0"/>
              <w:jc w:val="center"/>
            </w:pPr>
            <w:r>
              <w:rPr>
                <w:rFonts w:hint="eastAsia" w:cs="Times New Roman"/>
              </w:rPr>
              <w:t>6</w:t>
            </w:r>
          </w:p>
        </w:tc>
        <w:tc>
          <w:tcPr>
            <w:tcW w:w="1089" w:type="dxa"/>
            <w:vAlign w:val="center"/>
          </w:tcPr>
          <w:p w14:paraId="16FCE0A2">
            <w:pPr>
              <w:adjustRightInd w:val="0"/>
              <w:jc w:val="center"/>
            </w:pPr>
            <w:r>
              <w:rPr>
                <w:rFonts w:hint="eastAsia" w:ascii="Arial" w:hAnsi="Arial" w:cs="Times New Roman"/>
                <w:bCs/>
                <w:color w:val="000000"/>
              </w:rPr>
              <w:t>知识产权法律制度</w:t>
            </w:r>
          </w:p>
        </w:tc>
        <w:tc>
          <w:tcPr>
            <w:tcW w:w="2880" w:type="dxa"/>
            <w:vAlign w:val="center"/>
          </w:tcPr>
          <w:p w14:paraId="03235915">
            <w:r>
              <w:rPr>
                <w:rFonts w:hint="eastAsia"/>
              </w:rPr>
              <w:t>1.了解知识产权的概念、特征和国际保护；</w:t>
            </w:r>
          </w:p>
          <w:p w14:paraId="76DE6A6D">
            <w:r>
              <w:rPr>
                <w:rFonts w:hint="eastAsia"/>
              </w:rPr>
              <w:t>2.理解专利权、商标权和著作权的概念；</w:t>
            </w:r>
          </w:p>
          <w:p w14:paraId="28932928">
            <w:r>
              <w:rPr>
                <w:rFonts w:hint="eastAsia"/>
              </w:rPr>
              <w:t>3.理解申请商标注册的资格和条件；</w:t>
            </w:r>
          </w:p>
          <w:p w14:paraId="06EDBE51">
            <w:r>
              <w:rPr>
                <w:rFonts w:hint="eastAsia"/>
              </w:rPr>
              <w:t>4.理解著作权的主体、客体与内容；</w:t>
            </w:r>
          </w:p>
          <w:p w14:paraId="56E9B3B0">
            <w:r>
              <w:rPr>
                <w:rFonts w:hint="eastAsia"/>
              </w:rPr>
              <w:t>5.掌握专利权申请人和专利人的资格、授予专利权的条件、专利的申请和审批、专利权人的基本权利、专利实施的强制许可、专利权的保护、专利权的期限、终止和无效；</w:t>
            </w:r>
          </w:p>
          <w:p w14:paraId="6C93EAF6">
            <w:r>
              <w:rPr>
                <w:rFonts w:hint="eastAsia"/>
              </w:rPr>
              <w:t>6.掌握商标注册程序、注册商标专用权及保护；</w:t>
            </w:r>
          </w:p>
          <w:p w14:paraId="236A3623">
            <w:r>
              <w:rPr>
                <w:rFonts w:hint="eastAsia"/>
              </w:rPr>
              <w:t>7.掌握著作权的期限、许可使用、转让及保护。</w:t>
            </w:r>
          </w:p>
        </w:tc>
        <w:tc>
          <w:tcPr>
            <w:tcW w:w="2682" w:type="dxa"/>
            <w:vAlign w:val="center"/>
          </w:tcPr>
          <w:p w14:paraId="0AC71F72">
            <w:pPr>
              <w:widowControl/>
            </w:pPr>
            <w:r>
              <w:rPr>
                <w:rFonts w:hint="eastAsia"/>
              </w:rPr>
              <w:t>1.通过多媒体课件，指导学生认识知识产权法律制度；</w:t>
            </w:r>
          </w:p>
          <w:p w14:paraId="49AFEE6F">
            <w:r>
              <w:rPr>
                <w:rFonts w:hint="eastAsia"/>
              </w:rPr>
              <w:t>2.引导学生掌握专利权、商标权和著作权的概念、主体、客体、内容及保护。</w:t>
            </w:r>
          </w:p>
          <w:p w14:paraId="37BB5C36">
            <w:r>
              <w:rPr>
                <w:rFonts w:hint="eastAsia"/>
              </w:rPr>
              <w:t>3</w:t>
            </w:r>
            <w:r>
              <w:t>.</w:t>
            </w:r>
            <w:r>
              <w:rPr>
                <w:rFonts w:hint="eastAsia"/>
              </w:rPr>
              <w:t>加强学生的维权意识，增强学生对于产权的保护意识。</w:t>
            </w:r>
          </w:p>
        </w:tc>
        <w:tc>
          <w:tcPr>
            <w:tcW w:w="724" w:type="dxa"/>
          </w:tcPr>
          <w:p w14:paraId="0EF3273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10</w:t>
            </w:r>
          </w:p>
        </w:tc>
      </w:tr>
      <w:tr w14:paraId="1E206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8702C32">
            <w:pPr>
              <w:adjustRightInd w:val="0"/>
              <w:jc w:val="center"/>
              <w:rPr>
                <w:rFonts w:cs="Times New Roman"/>
              </w:rPr>
            </w:pPr>
            <w:r>
              <w:rPr>
                <w:rFonts w:hint="eastAsia" w:cs="Times New Roman"/>
              </w:rPr>
              <w:t>7</w:t>
            </w:r>
          </w:p>
        </w:tc>
        <w:tc>
          <w:tcPr>
            <w:tcW w:w="1089" w:type="dxa"/>
            <w:vAlign w:val="center"/>
          </w:tcPr>
          <w:p w14:paraId="53D7BEF1">
            <w:pPr>
              <w:adjustRightInd w:val="0"/>
              <w:jc w:val="center"/>
              <w:rPr>
                <w:rFonts w:cs="Times New Roman"/>
              </w:rPr>
            </w:pPr>
            <w:r>
              <w:rPr>
                <w:rFonts w:hint="eastAsia" w:cs="Times New Roman"/>
              </w:rPr>
              <w:t>合同法律制度</w:t>
            </w:r>
          </w:p>
        </w:tc>
        <w:tc>
          <w:tcPr>
            <w:tcW w:w="2880" w:type="dxa"/>
            <w:vAlign w:val="center"/>
          </w:tcPr>
          <w:p w14:paraId="0061BD7F">
            <w:pPr>
              <w:widowControl/>
            </w:pPr>
            <w:r>
              <w:rPr>
                <w:rFonts w:hint="eastAsia"/>
              </w:rPr>
              <w:t>1.了解合同的概念、调整对象与分类；</w:t>
            </w:r>
          </w:p>
          <w:p w14:paraId="5DA2220B">
            <w:pPr>
              <w:rPr>
                <w:rFonts w:ascii="Calibri" w:hAnsi="Calibri" w:cs="Times New Roman"/>
              </w:rPr>
            </w:pPr>
            <w:r>
              <w:rPr>
                <w:rFonts w:hint="eastAsia"/>
              </w:rPr>
              <w:t>2.理解违约责任；</w:t>
            </w:r>
          </w:p>
          <w:p w14:paraId="2559704E">
            <w:pPr>
              <w:spacing w:line="360" w:lineRule="exact"/>
              <w:rPr>
                <w:rFonts w:cs="Times New Roman"/>
              </w:rPr>
            </w:pPr>
            <w:r>
              <w:rPr>
                <w:rFonts w:hint="eastAsia"/>
              </w:rPr>
              <w:t>3.掌握合同的订立、合同的内容、合同的效力、合同的履行、合同的变更、转让和终止。</w:t>
            </w:r>
          </w:p>
        </w:tc>
        <w:tc>
          <w:tcPr>
            <w:tcW w:w="2682" w:type="dxa"/>
            <w:vAlign w:val="center"/>
          </w:tcPr>
          <w:p w14:paraId="53826344">
            <w:pPr>
              <w:widowControl/>
            </w:pPr>
            <w:r>
              <w:rPr>
                <w:rFonts w:hint="eastAsia"/>
              </w:rPr>
              <w:t>1.通过多媒体课件，指导学生认识合同法律制度；</w:t>
            </w:r>
          </w:p>
          <w:p w14:paraId="3CB9B2AD">
            <w:pPr>
              <w:spacing w:line="360" w:lineRule="exact"/>
            </w:pPr>
            <w:r>
              <w:rPr>
                <w:rFonts w:hint="eastAsia"/>
              </w:rPr>
              <w:t>2.引导学生掌握合同的概念、调整对象、分类、违约责任等。</w:t>
            </w:r>
          </w:p>
          <w:p w14:paraId="064FF5A7">
            <w:pPr>
              <w:spacing w:line="360" w:lineRule="exact"/>
              <w:rPr>
                <w:rFonts w:cs="Times New Roman"/>
              </w:rPr>
            </w:pPr>
            <w:r>
              <w:rPr>
                <w:rFonts w:hint="eastAsia"/>
              </w:rPr>
              <w:t>3</w:t>
            </w:r>
            <w:r>
              <w:t>.</w:t>
            </w:r>
            <w:r>
              <w:rPr>
                <w:rFonts w:hint="eastAsia"/>
              </w:rPr>
              <w:t>树立学生正确的道德观，培养思维敏捷的基本素养。</w:t>
            </w:r>
          </w:p>
        </w:tc>
        <w:tc>
          <w:tcPr>
            <w:tcW w:w="724" w:type="dxa"/>
          </w:tcPr>
          <w:p w14:paraId="082546D8">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20</w:t>
            </w:r>
          </w:p>
        </w:tc>
      </w:tr>
      <w:tr w14:paraId="72B5A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14FC4E2">
            <w:pPr>
              <w:adjustRightInd w:val="0"/>
              <w:jc w:val="center"/>
              <w:rPr>
                <w:rFonts w:cs="Times New Roman"/>
              </w:rPr>
            </w:pPr>
            <w:r>
              <w:rPr>
                <w:rFonts w:hint="eastAsia" w:cs="Times New Roman"/>
              </w:rPr>
              <w:t>8</w:t>
            </w:r>
          </w:p>
        </w:tc>
        <w:tc>
          <w:tcPr>
            <w:tcW w:w="1089" w:type="dxa"/>
            <w:vAlign w:val="center"/>
          </w:tcPr>
          <w:p w14:paraId="07A505C9">
            <w:pPr>
              <w:adjustRightInd w:val="0"/>
              <w:jc w:val="center"/>
              <w:rPr>
                <w:rFonts w:cs="Times New Roman"/>
              </w:rPr>
            </w:pPr>
            <w:r>
              <w:rPr>
                <w:rFonts w:hint="eastAsia" w:cs="Times New Roman"/>
              </w:rPr>
              <w:t>经济纠纷处理法律制度</w:t>
            </w:r>
          </w:p>
        </w:tc>
        <w:tc>
          <w:tcPr>
            <w:tcW w:w="2880" w:type="dxa"/>
            <w:vAlign w:val="center"/>
          </w:tcPr>
          <w:p w14:paraId="6649A5BB">
            <w:r>
              <w:rPr>
                <w:rFonts w:hint="eastAsia"/>
              </w:rPr>
              <w:t>1.理解经济仲裁的概念与使用范围；</w:t>
            </w:r>
          </w:p>
          <w:p w14:paraId="6F4DB83C">
            <w:r>
              <w:rPr>
                <w:rFonts w:hint="eastAsia"/>
              </w:rPr>
              <w:t>2.理解经济审判的概念、审判机构与收案范围；</w:t>
            </w:r>
          </w:p>
          <w:p w14:paraId="263443A0">
            <w:r>
              <w:rPr>
                <w:rFonts w:hint="eastAsia"/>
              </w:rPr>
              <w:t>3.掌握仲裁机构、仲裁协议与仲裁程序；</w:t>
            </w:r>
          </w:p>
          <w:p w14:paraId="4D7432D6">
            <w:pPr>
              <w:spacing w:line="360" w:lineRule="exact"/>
              <w:rPr>
                <w:rFonts w:cs="Times New Roman"/>
              </w:rPr>
            </w:pPr>
            <w:r>
              <w:rPr>
                <w:rFonts w:hint="eastAsia"/>
              </w:rPr>
              <w:t>4.掌握经济纠纷案件的诉讼程序。</w:t>
            </w:r>
          </w:p>
        </w:tc>
        <w:tc>
          <w:tcPr>
            <w:tcW w:w="2682" w:type="dxa"/>
            <w:vAlign w:val="center"/>
          </w:tcPr>
          <w:p w14:paraId="04D5DC69">
            <w:pPr>
              <w:widowControl/>
            </w:pPr>
            <w:r>
              <w:rPr>
                <w:rFonts w:hint="eastAsia"/>
              </w:rPr>
              <w:t>1.通过多媒体课件，指导学生认识经济纠纷处理法律制度；</w:t>
            </w:r>
          </w:p>
          <w:p w14:paraId="4A8D3868">
            <w:pPr>
              <w:spacing w:line="360" w:lineRule="exact"/>
            </w:pPr>
            <w:r>
              <w:rPr>
                <w:rFonts w:hint="eastAsia"/>
              </w:rPr>
              <w:t>2.引导学生掌握经济仲裁与经济审判的区别。</w:t>
            </w:r>
          </w:p>
          <w:p w14:paraId="3C35E30A">
            <w:pPr>
              <w:spacing w:line="360" w:lineRule="exact"/>
              <w:rPr>
                <w:rFonts w:cs="Times New Roman"/>
              </w:rPr>
            </w:pPr>
            <w:r>
              <w:rPr>
                <w:rFonts w:hint="eastAsia"/>
              </w:rPr>
              <w:t>3</w:t>
            </w:r>
            <w:r>
              <w:t>.</w:t>
            </w:r>
            <w:r>
              <w:rPr>
                <w:rFonts w:hint="eastAsia"/>
              </w:rPr>
              <w:t>增强学生良好的团结协作精神和法律意识。</w:t>
            </w:r>
          </w:p>
        </w:tc>
        <w:tc>
          <w:tcPr>
            <w:tcW w:w="724" w:type="dxa"/>
          </w:tcPr>
          <w:p w14:paraId="743030AA">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10</w:t>
            </w:r>
          </w:p>
        </w:tc>
      </w:tr>
    </w:tbl>
    <w:p w14:paraId="50BE6356">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3DF2303A">
      <w:pPr>
        <w:pStyle w:val="17"/>
        <w:spacing w:after="0" w:line="400" w:lineRule="exact"/>
        <w:ind w:firstLine="480" w:firstLineChars="200"/>
        <w:rPr>
          <w:sz w:val="24"/>
          <w:szCs w:val="24"/>
        </w:rPr>
      </w:pPr>
      <w:r>
        <w:rPr>
          <w:rFonts w:hint="eastAsia"/>
          <w:sz w:val="24"/>
          <w:szCs w:val="24"/>
        </w:rPr>
        <w:t>1.教学方法</w:t>
      </w:r>
    </w:p>
    <w:p w14:paraId="5F505270">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052A48D3">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43B878C4">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531A37C0">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48C9CA69">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1669EBB3">
      <w:pPr>
        <w:pStyle w:val="17"/>
        <w:spacing w:after="0" w:line="400" w:lineRule="exact"/>
        <w:ind w:firstLine="480" w:firstLineChars="200"/>
        <w:rPr>
          <w:sz w:val="24"/>
          <w:szCs w:val="24"/>
        </w:rPr>
      </w:pPr>
      <w:r>
        <w:rPr>
          <w:rFonts w:hint="eastAsia"/>
          <w:sz w:val="24"/>
          <w:szCs w:val="24"/>
        </w:rPr>
        <w:t>2.评价方法</w:t>
      </w:r>
    </w:p>
    <w:p w14:paraId="0EDF42F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学习领域最终成绩由单人成绩和小组成绩两部分组成，通过对学习过程和学习结果的评价，对学生知识、技能和能力进行综合考核。其中，理论知识和个人训练项目由教师通过对学生学习过程和结果的综合考核，得出学习成绩分值，该部分成绩占50%。分组进行的训练由教师根据对各小组操作过程和结果的综合考核给出各小组成绩，企业实地参观实践的分数计入小组成绩，小组内按照成员各自的表现和贡献互评，最后由组长确定出各成员的得分，上报任课教师。任课教师将每个学生的单人成绩与小组分配成绩相加，得出该课程的最终考核成绩。</w:t>
      </w:r>
    </w:p>
    <w:p w14:paraId="61E2E32A">
      <w:pPr>
        <w:pStyle w:val="17"/>
        <w:spacing w:after="0" w:line="400" w:lineRule="exact"/>
        <w:ind w:firstLine="480" w:firstLineChars="200"/>
        <w:rPr>
          <w:sz w:val="24"/>
          <w:szCs w:val="24"/>
        </w:rPr>
      </w:pPr>
      <w:r>
        <w:rPr>
          <w:rFonts w:hint="eastAsia"/>
          <w:sz w:val="24"/>
          <w:szCs w:val="24"/>
        </w:rPr>
        <w:t>3.教学条件</w:t>
      </w:r>
    </w:p>
    <w:p w14:paraId="4D1FD61F">
      <w:pPr>
        <w:spacing w:line="400" w:lineRule="exact"/>
        <w:ind w:firstLine="480" w:firstLineChars="200"/>
        <w:rPr>
          <w:rFonts w:ascii="仿宋_GB2312" w:hAnsi="Times New Roman" w:eastAsia="仿宋_GB2312" w:cs="Times New Roman"/>
          <w:sz w:val="24"/>
          <w:szCs w:val="24"/>
        </w:rPr>
      </w:pPr>
      <w:r>
        <w:rPr>
          <w:rFonts w:hint="eastAsia"/>
          <w:bCs/>
          <w:sz w:val="24"/>
          <w:szCs w:val="24"/>
        </w:rPr>
        <w:t>（1）校内实践教学条件要求。</w:t>
      </w:r>
      <w:r>
        <w:rPr>
          <w:rFonts w:hint="eastAsia" w:ascii="仿宋_GB2312" w:hAnsi="Times New Roman" w:eastAsia="仿宋_GB2312" w:cs="Times New Roman"/>
          <w:sz w:val="24"/>
          <w:szCs w:val="24"/>
        </w:rPr>
        <w:t>校内有一支结构合理、素质优良、具有良好职业修养的“双师素质”教师队伍，校外有一批既具有丰富的会计实际工作经验，又具有一定理论基础的会计专家参与学习领域课程标准的制定。</w:t>
      </w:r>
    </w:p>
    <w:p w14:paraId="2DD5C76D">
      <w:pPr>
        <w:pStyle w:val="17"/>
        <w:spacing w:after="0" w:line="400" w:lineRule="exact"/>
        <w:ind w:firstLine="480" w:firstLineChars="200"/>
        <w:rPr>
          <w:rFonts w:ascii="仿宋_GB2312"/>
          <w:sz w:val="24"/>
          <w:szCs w:val="24"/>
        </w:rPr>
      </w:pPr>
      <w:r>
        <w:rPr>
          <w:rFonts w:hint="eastAsia"/>
          <w:bCs/>
          <w:sz w:val="24"/>
          <w:szCs w:val="24"/>
        </w:rPr>
        <w:t>（2）校外实习基地条件要求。</w:t>
      </w:r>
      <w:r>
        <w:rPr>
          <w:rFonts w:hint="eastAsia" w:ascii="仿宋_GB2312"/>
          <w:sz w:val="24"/>
          <w:szCs w:val="24"/>
        </w:rPr>
        <w:t>配备经济法基础业务仿真练习资料、实训操作模拟实训软件，可在机上进行无纸化操作。具有最新配置手工模拟实训室，有一定数量的紧密型工学结合的校外实训基地。</w:t>
      </w:r>
    </w:p>
    <w:p w14:paraId="736B23EA">
      <w:pPr>
        <w:pStyle w:val="17"/>
        <w:spacing w:after="0" w:line="400" w:lineRule="exact"/>
        <w:ind w:firstLine="480" w:firstLineChars="200"/>
        <w:rPr>
          <w:bCs/>
          <w:sz w:val="24"/>
          <w:szCs w:val="24"/>
        </w:rPr>
      </w:pPr>
      <w:r>
        <w:rPr>
          <w:rFonts w:hint="eastAsia"/>
          <w:bCs/>
          <w:sz w:val="24"/>
          <w:szCs w:val="24"/>
        </w:rPr>
        <w:t>4.教材编选</w:t>
      </w:r>
    </w:p>
    <w:p w14:paraId="36B9F64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0EC5D63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（2）教材的教学内容能够很好地反映经济法基础的新颖性、科学性和实用性。注重教学改革成果。</w:t>
      </w:r>
    </w:p>
    <w:p w14:paraId="220F8A3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19DD254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网络教学环境。学校应建成校园网，并将终端连入学校的各多媒体教室、图书馆、学生公寓为开展《经济法基础》的网络教学提供有利的教学环境，要初步建立《经济法基础》课程网站，实现本课程教学辅助资源的共享以及教与学的互动。即学生可通过网络了解本课程的主要学习内容、重点与难点，获得学习方法上的指导和帮助，也可通过浏览网络教学课件来直观地了解教学过程。</w:t>
      </w:r>
    </w:p>
    <w:p w14:paraId="32CF0B3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5）教学课件使用与开发。根据《经济法基础》教学内容和教学手段改革的需要，课程组应精心制作与实践教学内容相吻合的《经济法基础》多媒体教学课件。课件内容要丰富、信息量要大，形式生动活泼，演示灵活方便，将抽象的、难于理解的内容化成直观的、易于理解的内容，使学生能深刻地领会会计的基本思想、基本理论及基本方法。这样不仅有效地解决了学时少，内容多的矛盾，而且更有利于实施启发式教学，激发学生的学习兴趣，很好地培养学生的实践能力和独立思考以探求真理的能力。</w:t>
      </w:r>
    </w:p>
    <w:p w14:paraId="09832EF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6）多媒体教学手段。多媒体教学手段主要包括电子课件、投影、视频、音频、动画演示、多媒体教学软件，为学生提供会计业务示范操作过程演示，把学生带入一个虚拟现实的学习场景中。学生对照这些演示操作就能比较全面地了解实际工作中的操作流程，并按照操作演示的指引完成模拟操作。</w:t>
      </w:r>
    </w:p>
    <w:p w14:paraId="0C455249">
      <w:pPr>
        <w:pStyle w:val="17"/>
        <w:spacing w:line="360" w:lineRule="auto"/>
        <w:jc w:val="both"/>
        <w:rPr>
          <w:rFonts w:ascii="黑体" w:hAnsi="黑体" w:eastAsia="黑体"/>
          <w:sz w:val="28"/>
          <w:szCs w:val="28"/>
        </w:rPr>
      </w:pPr>
    </w:p>
    <w:p w14:paraId="58F9815B">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01EE9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2433FBE5">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14E303A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23728633">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1C9CAD3F">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037CE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119BC470">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5F953468">
            <w:pPr>
              <w:rPr>
                <w:snapToGrid w:val="0"/>
                <w:color w:val="000000"/>
                <w:lang w:eastAsia="en-US"/>
              </w:rPr>
            </w:pPr>
            <w:r>
              <w:rPr>
                <w:rFonts w:hint="eastAsia"/>
                <w:snapToGrid w:val="0"/>
                <w:color w:val="000000"/>
                <w:lang w:eastAsia="en-US"/>
              </w:rPr>
              <w:t>1.1法的概念与法的分类；</w:t>
            </w:r>
          </w:p>
          <w:p w14:paraId="03B219F1">
            <w:pPr>
              <w:rPr>
                <w:snapToGrid w:val="0"/>
                <w:color w:val="000000"/>
                <w:lang w:eastAsia="en-US"/>
              </w:rPr>
            </w:pPr>
            <w:r>
              <w:rPr>
                <w:rFonts w:hint="eastAsia"/>
                <w:snapToGrid w:val="0"/>
                <w:color w:val="000000"/>
                <w:lang w:eastAsia="en-US"/>
              </w:rPr>
              <w:t>1.2经济法的概念与调整对象；</w:t>
            </w:r>
          </w:p>
          <w:p w14:paraId="3979CD15">
            <w:pPr>
              <w:rPr>
                <w:snapToGrid w:val="0"/>
                <w:color w:val="000000"/>
                <w:lang w:eastAsia="en-US"/>
              </w:rPr>
            </w:pPr>
            <w:r>
              <w:rPr>
                <w:rFonts w:hint="eastAsia"/>
                <w:snapToGrid w:val="0"/>
                <w:color w:val="000000"/>
                <w:lang w:eastAsia="en-US"/>
              </w:rPr>
              <w:t>1.3理解经济法律关系的概念；</w:t>
            </w:r>
          </w:p>
          <w:p w14:paraId="4CD4CC36">
            <w:pPr>
              <w:rPr>
                <w:snapToGrid w:val="0"/>
                <w:color w:val="000000"/>
                <w:lang w:eastAsia="en-US"/>
              </w:rPr>
            </w:pPr>
            <w:r>
              <w:rPr>
                <w:rFonts w:hint="eastAsia"/>
                <w:snapToGrid w:val="0"/>
                <w:color w:val="000000"/>
                <w:lang w:eastAsia="en-US"/>
              </w:rPr>
              <w:t>1.4掌握经济法律关系的主体、内容与客体；</w:t>
            </w:r>
          </w:p>
          <w:p w14:paraId="33A8A679">
            <w:pPr>
              <w:rPr>
                <w:rFonts w:ascii="仿宋_GB2312" w:cs="Times New Roman"/>
                <w:snapToGrid w:val="0"/>
                <w:color w:val="000000"/>
                <w:lang w:eastAsia="en-US"/>
              </w:rPr>
            </w:pPr>
            <w:r>
              <w:rPr>
                <w:rFonts w:hint="eastAsia"/>
                <w:snapToGrid w:val="0"/>
                <w:color w:val="000000"/>
                <w:lang w:eastAsia="en-US"/>
              </w:rPr>
              <w:t>1.5理解代理制度。</w:t>
            </w:r>
          </w:p>
        </w:tc>
        <w:tc>
          <w:tcPr>
            <w:tcW w:w="1980" w:type="dxa"/>
            <w:tcMar>
              <w:top w:w="0" w:type="dxa"/>
              <w:left w:w="108" w:type="dxa"/>
              <w:bottom w:w="0" w:type="dxa"/>
              <w:right w:w="108" w:type="dxa"/>
            </w:tcMar>
            <w:vAlign w:val="center"/>
          </w:tcPr>
          <w:p w14:paraId="43147FE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1A28F6B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7AE9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08F6C5E4">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6AF74B7F">
            <w:pPr>
              <w:rPr>
                <w:snapToGrid w:val="0"/>
                <w:color w:val="000000"/>
                <w:lang w:eastAsia="en-US"/>
              </w:rPr>
            </w:pPr>
            <w:r>
              <w:rPr>
                <w:rFonts w:hint="eastAsia"/>
                <w:snapToGrid w:val="0"/>
                <w:color w:val="000000"/>
                <w:lang w:eastAsia="en-US"/>
              </w:rPr>
              <w:t>1.6担保制度；</w:t>
            </w:r>
          </w:p>
          <w:p w14:paraId="3F3CF627">
            <w:pPr>
              <w:rPr>
                <w:snapToGrid w:val="0"/>
                <w:color w:val="000000"/>
                <w:lang w:eastAsia="en-US"/>
              </w:rPr>
            </w:pPr>
            <w:r>
              <w:rPr>
                <w:rFonts w:hint="eastAsia"/>
                <w:snapToGrid w:val="0"/>
                <w:color w:val="000000"/>
                <w:lang w:eastAsia="en-US"/>
              </w:rPr>
              <w:t>2.1个人独资企业的概念；</w:t>
            </w:r>
          </w:p>
          <w:p w14:paraId="526E6A85">
            <w:pPr>
              <w:rPr>
                <w:rFonts w:ascii="仿宋_GB2312" w:cs="Times New Roman"/>
                <w:snapToGrid w:val="0"/>
                <w:color w:val="000000"/>
                <w:lang w:eastAsia="en-US"/>
              </w:rPr>
            </w:pPr>
            <w:r>
              <w:rPr>
                <w:rFonts w:hint="eastAsia"/>
                <w:snapToGrid w:val="0"/>
                <w:color w:val="000000"/>
                <w:lang w:eastAsia="en-US"/>
              </w:rPr>
              <w:t>2.2个人独资企业的特征与设立设立。</w:t>
            </w:r>
          </w:p>
        </w:tc>
        <w:tc>
          <w:tcPr>
            <w:tcW w:w="1980" w:type="dxa"/>
            <w:tcMar>
              <w:top w:w="0" w:type="dxa"/>
              <w:left w:w="108" w:type="dxa"/>
              <w:bottom w:w="0" w:type="dxa"/>
              <w:right w:w="108" w:type="dxa"/>
            </w:tcMar>
            <w:vAlign w:val="center"/>
          </w:tcPr>
          <w:p w14:paraId="71811D13">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1208346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9458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1FE59095">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3</w:t>
            </w:r>
          </w:p>
        </w:tc>
        <w:tc>
          <w:tcPr>
            <w:tcW w:w="3079" w:type="dxa"/>
            <w:tcMar>
              <w:top w:w="0" w:type="dxa"/>
              <w:left w:w="108" w:type="dxa"/>
              <w:bottom w:w="0" w:type="dxa"/>
              <w:right w:w="108" w:type="dxa"/>
            </w:tcMar>
            <w:vAlign w:val="center"/>
          </w:tcPr>
          <w:p w14:paraId="5151EA66">
            <w:pPr>
              <w:rPr>
                <w:snapToGrid w:val="0"/>
                <w:color w:val="000000"/>
                <w:lang w:eastAsia="en-US"/>
              </w:rPr>
            </w:pPr>
            <w:r>
              <w:rPr>
                <w:rFonts w:hint="eastAsia"/>
                <w:snapToGrid w:val="0"/>
                <w:color w:val="000000"/>
                <w:lang w:eastAsia="en-US"/>
              </w:rPr>
              <w:t>2.3个人独资企业投资人及事务管理；</w:t>
            </w:r>
          </w:p>
          <w:p w14:paraId="2F60A245">
            <w:pPr>
              <w:rPr>
                <w:rFonts w:ascii="仿宋_GB2312" w:cs="Times New Roman"/>
                <w:snapToGrid w:val="0"/>
                <w:color w:val="000000"/>
                <w:lang w:eastAsia="en-US"/>
              </w:rPr>
            </w:pPr>
            <w:r>
              <w:rPr>
                <w:rFonts w:hint="eastAsia"/>
                <w:snapToGrid w:val="0"/>
                <w:color w:val="000000"/>
                <w:lang w:eastAsia="en-US"/>
              </w:rPr>
              <w:t>2.4合伙企业的概念及分类。</w:t>
            </w:r>
          </w:p>
        </w:tc>
        <w:tc>
          <w:tcPr>
            <w:tcW w:w="1980" w:type="dxa"/>
            <w:tcMar>
              <w:top w:w="0" w:type="dxa"/>
              <w:left w:w="108" w:type="dxa"/>
              <w:bottom w:w="0" w:type="dxa"/>
              <w:right w:w="108" w:type="dxa"/>
            </w:tcMar>
            <w:vAlign w:val="center"/>
          </w:tcPr>
          <w:p w14:paraId="2D9775E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69DC0A05">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讲授</w:t>
            </w:r>
          </w:p>
        </w:tc>
      </w:tr>
      <w:tr w14:paraId="558DD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5F57DD">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4</w:t>
            </w:r>
          </w:p>
        </w:tc>
        <w:tc>
          <w:tcPr>
            <w:tcW w:w="3079" w:type="dxa"/>
            <w:tcMar>
              <w:top w:w="0" w:type="dxa"/>
              <w:left w:w="108" w:type="dxa"/>
              <w:bottom w:w="0" w:type="dxa"/>
              <w:right w:w="108" w:type="dxa"/>
            </w:tcMar>
            <w:vAlign w:val="center"/>
          </w:tcPr>
          <w:p w14:paraId="75A4450A">
            <w:pPr>
              <w:rPr>
                <w:rFonts w:asciiTheme="minorEastAsia" w:hAnsiTheme="minorEastAsia" w:cstheme="minorEastAsia"/>
                <w:snapToGrid w:val="0"/>
                <w:color w:val="000000"/>
                <w:spacing w:val="7"/>
                <w:lang w:eastAsia="en-US"/>
              </w:rPr>
            </w:pPr>
            <w:r>
              <w:rPr>
                <w:rFonts w:hint="eastAsia"/>
                <w:snapToGrid w:val="0"/>
                <w:color w:val="000000"/>
                <w:lang w:eastAsia="en-US"/>
              </w:rPr>
              <w:t>2.5普通合伙企业。</w:t>
            </w:r>
          </w:p>
        </w:tc>
        <w:tc>
          <w:tcPr>
            <w:tcW w:w="1980" w:type="dxa"/>
            <w:tcMar>
              <w:top w:w="0" w:type="dxa"/>
              <w:left w:w="108" w:type="dxa"/>
              <w:bottom w:w="0" w:type="dxa"/>
              <w:right w:w="108" w:type="dxa"/>
            </w:tcMar>
            <w:vAlign w:val="center"/>
          </w:tcPr>
          <w:p w14:paraId="35A10A3D">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3E8BE45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1102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33F242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40632E13">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2.6有限合伙企业；</w:t>
            </w:r>
          </w:p>
          <w:p w14:paraId="2AEE84E1">
            <w:pPr>
              <w:pStyle w:val="178"/>
              <w:spacing w:line="360" w:lineRule="exact"/>
              <w:rPr>
                <w:rFonts w:eastAsia="宋体" w:asciiTheme="minorEastAsia" w:hAnsi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3.1</w:t>
            </w:r>
            <w:r>
              <w:rPr>
                <w:rFonts w:hint="eastAsia" w:ascii="宋体" w:hAnsi="宋体" w:eastAsia="宋体" w:cs="宋体"/>
                <w:lang w:eastAsia="en-US"/>
              </w:rPr>
              <w:t>公司的概念、特征、分类与登记管理。</w:t>
            </w:r>
          </w:p>
        </w:tc>
        <w:tc>
          <w:tcPr>
            <w:tcW w:w="1980" w:type="dxa"/>
            <w:tcMar>
              <w:top w:w="0" w:type="dxa"/>
              <w:left w:w="108" w:type="dxa"/>
              <w:bottom w:w="0" w:type="dxa"/>
              <w:right w:w="108" w:type="dxa"/>
            </w:tcMar>
            <w:vAlign w:val="center"/>
          </w:tcPr>
          <w:p w14:paraId="530DD4A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62393DE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12F03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2C24D1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0AB363CC">
            <w:pPr>
              <w:pStyle w:val="178"/>
              <w:spacing w:line="360" w:lineRule="exact"/>
              <w:rPr>
                <w:rFonts w:eastAsia="宋体" w:asciiTheme="minorEastAsia" w:hAnsiTheme="minorEastAsia" w:cstheme="minorEastAsia"/>
                <w:snapToGrid w:val="0"/>
                <w:spacing w:val="7"/>
                <w:lang w:eastAsia="en-US"/>
              </w:rPr>
            </w:pPr>
            <w:r>
              <w:rPr>
                <w:rFonts w:hint="eastAsia" w:ascii="宋体" w:hAnsi="宋体" w:eastAsia="宋体" w:cs="宋体"/>
                <w:lang w:eastAsia="en-US"/>
              </w:rPr>
              <w:t>3.2公司董事、监事、高级管理人员的资格和义务。</w:t>
            </w:r>
          </w:p>
        </w:tc>
        <w:tc>
          <w:tcPr>
            <w:tcW w:w="1980" w:type="dxa"/>
            <w:tcMar>
              <w:top w:w="0" w:type="dxa"/>
              <w:left w:w="108" w:type="dxa"/>
              <w:bottom w:w="0" w:type="dxa"/>
              <w:right w:w="108" w:type="dxa"/>
            </w:tcMar>
            <w:vAlign w:val="center"/>
          </w:tcPr>
          <w:p w14:paraId="353B3EC1">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765EE9D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41929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226DC7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31EE376D">
            <w:pPr>
              <w:rPr>
                <w:snapToGrid w:val="0"/>
                <w:color w:val="000000"/>
                <w:lang w:eastAsia="en-US"/>
              </w:rPr>
            </w:pPr>
            <w:r>
              <w:rPr>
                <w:rFonts w:hint="eastAsia"/>
                <w:snapToGrid w:val="0"/>
                <w:color w:val="000000"/>
                <w:lang w:eastAsia="en-US"/>
              </w:rPr>
              <w:t>3.3有限责任公司的组织机构；</w:t>
            </w:r>
          </w:p>
          <w:p w14:paraId="4851F279">
            <w:pPr>
              <w:rPr>
                <w:rFonts w:asciiTheme="minorEastAsia" w:hAnsiTheme="minorEastAsia" w:cstheme="minorEastAsia"/>
                <w:snapToGrid w:val="0"/>
                <w:color w:val="000000"/>
                <w:spacing w:val="7"/>
                <w:lang w:eastAsia="en-US"/>
              </w:rPr>
            </w:pPr>
            <w:r>
              <w:rPr>
                <w:rFonts w:hint="eastAsia"/>
                <w:snapToGrid w:val="0"/>
                <w:color w:val="000000"/>
                <w:lang w:eastAsia="en-US"/>
              </w:rPr>
              <w:t>3.4有限责任公司股权转让。</w:t>
            </w:r>
          </w:p>
        </w:tc>
        <w:tc>
          <w:tcPr>
            <w:tcW w:w="1980" w:type="dxa"/>
            <w:tcMar>
              <w:top w:w="0" w:type="dxa"/>
              <w:left w:w="108" w:type="dxa"/>
              <w:bottom w:w="0" w:type="dxa"/>
              <w:right w:w="108" w:type="dxa"/>
            </w:tcMar>
            <w:vAlign w:val="center"/>
          </w:tcPr>
          <w:p w14:paraId="67A1147C">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715FB3F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7F24F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9BF96E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628305D8">
            <w:pPr>
              <w:pStyle w:val="178"/>
              <w:spacing w:line="360" w:lineRule="exact"/>
              <w:rPr>
                <w:rFonts w:eastAsia="宋体" w:asciiTheme="minorEastAsia" w:hAnsi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3.5</w:t>
            </w:r>
            <w:r>
              <w:rPr>
                <w:rFonts w:hint="eastAsia" w:ascii="宋体" w:hAnsi="宋体" w:eastAsia="宋体" w:cs="宋体"/>
                <w:lang w:eastAsia="en-US"/>
              </w:rPr>
              <w:t>股份有限公司的设立与组织机构。</w:t>
            </w:r>
          </w:p>
        </w:tc>
        <w:tc>
          <w:tcPr>
            <w:tcW w:w="1980" w:type="dxa"/>
            <w:tcMar>
              <w:top w:w="0" w:type="dxa"/>
              <w:left w:w="108" w:type="dxa"/>
              <w:bottom w:w="0" w:type="dxa"/>
              <w:right w:w="108" w:type="dxa"/>
            </w:tcMar>
            <w:vAlign w:val="center"/>
          </w:tcPr>
          <w:p w14:paraId="109512F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7B1DB2F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68C8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6E71AC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714B6168">
            <w:pPr>
              <w:pStyle w:val="178"/>
              <w:spacing w:line="360" w:lineRule="exact"/>
              <w:rPr>
                <w:rFonts w:ascii="宋体" w:hAnsi="宋体" w:eastAsia="宋体" w:cs="Times New Roman"/>
                <w:lang w:eastAsia="en-US"/>
              </w:rPr>
            </w:pPr>
            <w:r>
              <w:rPr>
                <w:rFonts w:hint="eastAsia" w:asciiTheme="minorEastAsia" w:hAnsiTheme="minorEastAsia" w:eastAsiaTheme="minorEastAsia" w:cstheme="minorEastAsia"/>
                <w:snapToGrid w:val="0"/>
                <w:spacing w:val="7"/>
                <w:lang w:eastAsia="en-US"/>
              </w:rPr>
              <w:t>4.1</w:t>
            </w:r>
            <w:r>
              <w:rPr>
                <w:rFonts w:hint="eastAsia" w:ascii="宋体" w:hAnsi="宋体" w:eastAsia="宋体" w:cs="Times New Roman"/>
                <w:lang w:eastAsia="en-US"/>
              </w:rPr>
              <w:t>外商投资准入原则；</w:t>
            </w:r>
          </w:p>
          <w:p w14:paraId="3C2C7A4B">
            <w:pPr>
              <w:pStyle w:val="178"/>
              <w:spacing w:line="360" w:lineRule="exact"/>
              <w:rPr>
                <w:rFonts w:ascii="宋体" w:hAnsi="宋体" w:eastAsia="宋体" w:cs="Times New Roman"/>
                <w:lang w:eastAsia="en-US"/>
              </w:rPr>
            </w:pPr>
            <w:r>
              <w:rPr>
                <w:rFonts w:hint="eastAsia" w:ascii="宋体" w:hAnsi="宋体" w:eastAsia="宋体" w:cs="Times New Roman"/>
                <w:lang w:eastAsia="en-US"/>
              </w:rPr>
              <w:t>4.2外商投资促进与投资保护。</w:t>
            </w:r>
          </w:p>
        </w:tc>
        <w:tc>
          <w:tcPr>
            <w:tcW w:w="1980" w:type="dxa"/>
            <w:tcMar>
              <w:top w:w="0" w:type="dxa"/>
              <w:left w:w="108" w:type="dxa"/>
              <w:bottom w:w="0" w:type="dxa"/>
              <w:right w:w="108" w:type="dxa"/>
            </w:tcMar>
            <w:vAlign w:val="center"/>
          </w:tcPr>
          <w:p w14:paraId="37D2B708">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5F96E04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2503F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8F2EE3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78A2E0D0">
            <w:pPr>
              <w:pStyle w:val="178"/>
              <w:spacing w:line="360" w:lineRule="exact"/>
              <w:rPr>
                <w:rFonts w:ascii="宋体" w:hAnsi="宋体" w:eastAsia="宋体" w:cs="Times New Roman"/>
                <w:lang w:eastAsia="en-US"/>
              </w:rPr>
            </w:pPr>
            <w:r>
              <w:rPr>
                <w:rFonts w:hint="eastAsia" w:asciiTheme="minorEastAsia" w:hAnsiTheme="minorEastAsia" w:eastAsiaTheme="minorEastAsia" w:cstheme="minorEastAsia"/>
                <w:snapToGrid w:val="0"/>
                <w:spacing w:val="7"/>
                <w:lang w:eastAsia="en-US"/>
              </w:rPr>
              <w:t>4.3外商</w:t>
            </w:r>
            <w:r>
              <w:rPr>
                <w:rFonts w:hint="eastAsia" w:ascii="宋体" w:hAnsi="宋体" w:eastAsia="宋体" w:cs="Times New Roman"/>
                <w:lang w:eastAsia="en-US"/>
              </w:rPr>
              <w:t>投资管理等相关制度；</w:t>
            </w:r>
          </w:p>
          <w:p w14:paraId="27B9D876">
            <w:pPr>
              <w:pStyle w:val="178"/>
              <w:spacing w:line="360" w:lineRule="exact"/>
              <w:rPr>
                <w:rFonts w:ascii="宋体" w:hAnsi="宋体" w:eastAsia="宋体" w:cs="Times New Roman"/>
                <w:lang w:eastAsia="en-US"/>
              </w:rPr>
            </w:pPr>
            <w:r>
              <w:rPr>
                <w:rFonts w:hint="eastAsia" w:ascii="宋体" w:hAnsi="宋体" w:eastAsia="宋体" w:cs="Times New Roman"/>
                <w:lang w:eastAsia="en-US"/>
              </w:rPr>
              <w:t>5.1票据的种类和特征；</w:t>
            </w:r>
          </w:p>
          <w:p w14:paraId="3076C601">
            <w:pPr>
              <w:pStyle w:val="178"/>
              <w:spacing w:line="360" w:lineRule="exact"/>
              <w:rPr>
                <w:rFonts w:ascii="宋体" w:hAnsi="宋体" w:eastAsia="宋体" w:cs="Times New Roman"/>
                <w:lang w:eastAsia="en-US"/>
              </w:rPr>
            </w:pPr>
            <w:r>
              <w:rPr>
                <w:rFonts w:hint="eastAsia" w:asciiTheme="minorEastAsia" w:hAnsiTheme="minorEastAsia" w:eastAsiaTheme="minorEastAsia" w:cstheme="minorEastAsia"/>
                <w:snapToGrid w:val="0"/>
                <w:spacing w:val="7"/>
                <w:lang w:eastAsia="en-US"/>
              </w:rPr>
              <w:t>5.2票据的权利。</w:t>
            </w:r>
          </w:p>
        </w:tc>
        <w:tc>
          <w:tcPr>
            <w:tcW w:w="1980" w:type="dxa"/>
            <w:tcMar>
              <w:top w:w="0" w:type="dxa"/>
              <w:left w:w="108" w:type="dxa"/>
              <w:bottom w:w="0" w:type="dxa"/>
              <w:right w:w="108" w:type="dxa"/>
            </w:tcMar>
            <w:vAlign w:val="center"/>
          </w:tcPr>
          <w:p w14:paraId="2C34D5F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028DD987">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37C67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B0CA11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6FD7BF4C">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期中考试</w:t>
            </w:r>
          </w:p>
        </w:tc>
        <w:tc>
          <w:tcPr>
            <w:tcW w:w="1980" w:type="dxa"/>
            <w:tcMar>
              <w:top w:w="0" w:type="dxa"/>
              <w:left w:w="108" w:type="dxa"/>
              <w:bottom w:w="0" w:type="dxa"/>
              <w:right w:w="108" w:type="dxa"/>
            </w:tcMar>
            <w:vAlign w:val="center"/>
          </w:tcPr>
          <w:p w14:paraId="4A93B8F7">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0D7F901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考试</w:t>
            </w:r>
          </w:p>
        </w:tc>
      </w:tr>
      <w:tr w14:paraId="115AA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046172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470E489F">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5.3票据行为；</w:t>
            </w:r>
          </w:p>
          <w:p w14:paraId="53984971">
            <w:pPr>
              <w:pStyle w:val="178"/>
              <w:spacing w:line="360" w:lineRule="exact"/>
              <w:rPr>
                <w:rFonts w:ascii="宋体" w:hAnsi="宋体" w:eastAsia="宋体" w:cs="宋体"/>
                <w:lang w:eastAsia="en-US"/>
              </w:rPr>
            </w:pPr>
            <w:r>
              <w:rPr>
                <w:rFonts w:hint="eastAsia" w:asciiTheme="minorEastAsia" w:hAnsiTheme="minorEastAsia" w:eastAsiaTheme="minorEastAsia" w:cstheme="minorEastAsia"/>
                <w:snapToGrid w:val="0"/>
                <w:spacing w:val="7"/>
                <w:lang w:eastAsia="en-US"/>
              </w:rPr>
              <w:t>6.1</w:t>
            </w:r>
            <w:r>
              <w:rPr>
                <w:rFonts w:hint="eastAsia" w:ascii="宋体" w:hAnsi="宋体" w:eastAsia="宋体" w:cs="宋体"/>
                <w:lang w:eastAsia="en-US"/>
              </w:rPr>
              <w:t>知识产权的概念、特征和国际保护；</w:t>
            </w:r>
          </w:p>
          <w:p w14:paraId="03544060">
            <w:pPr>
              <w:pStyle w:val="178"/>
              <w:spacing w:line="360" w:lineRule="exact"/>
              <w:rPr>
                <w:rFonts w:ascii="宋体" w:hAnsi="宋体" w:eastAsia="宋体" w:cs="宋体"/>
                <w:lang w:eastAsia="en-US"/>
              </w:rPr>
            </w:pPr>
            <w:r>
              <w:rPr>
                <w:rFonts w:hint="eastAsia" w:ascii="宋体" w:hAnsi="宋体" w:eastAsia="宋体" w:cs="宋体"/>
                <w:lang w:eastAsia="en-US"/>
              </w:rPr>
              <w:t>6.2专利权。</w:t>
            </w:r>
          </w:p>
        </w:tc>
        <w:tc>
          <w:tcPr>
            <w:tcW w:w="1980" w:type="dxa"/>
            <w:tcMar>
              <w:top w:w="0" w:type="dxa"/>
              <w:left w:w="108" w:type="dxa"/>
              <w:bottom w:w="0" w:type="dxa"/>
              <w:right w:w="108" w:type="dxa"/>
            </w:tcMar>
            <w:vAlign w:val="center"/>
          </w:tcPr>
          <w:p w14:paraId="5779AF6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2B3DB131">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606D6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95B9FB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1C3B9020">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6.3商标权；</w:t>
            </w:r>
          </w:p>
          <w:p w14:paraId="2FA5A418">
            <w:pPr>
              <w:pStyle w:val="178"/>
              <w:spacing w:line="360" w:lineRule="exact"/>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6.4著作权。</w:t>
            </w:r>
          </w:p>
        </w:tc>
        <w:tc>
          <w:tcPr>
            <w:tcW w:w="1980" w:type="dxa"/>
            <w:tcMar>
              <w:top w:w="0" w:type="dxa"/>
              <w:left w:w="108" w:type="dxa"/>
              <w:bottom w:w="0" w:type="dxa"/>
              <w:right w:w="108" w:type="dxa"/>
            </w:tcMar>
            <w:vAlign w:val="center"/>
          </w:tcPr>
          <w:p w14:paraId="57C58AA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5E838B4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56A6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C9C5B7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2A26FCC8">
            <w:pPr>
              <w:pStyle w:val="178"/>
              <w:spacing w:line="360" w:lineRule="exact"/>
              <w:rPr>
                <w:rFonts w:ascii="宋体" w:hAnsi="宋体" w:eastAsia="宋体" w:cs="宋体"/>
                <w:lang w:eastAsia="en-US"/>
              </w:rPr>
            </w:pPr>
            <w:r>
              <w:rPr>
                <w:rFonts w:hint="eastAsia" w:asciiTheme="minorEastAsia" w:hAnsiTheme="minorEastAsia" w:eastAsiaTheme="minorEastAsia" w:cstheme="minorEastAsia"/>
                <w:snapToGrid w:val="0"/>
                <w:spacing w:val="7"/>
                <w:lang w:eastAsia="en-US"/>
              </w:rPr>
              <w:t>7.1</w:t>
            </w:r>
            <w:r>
              <w:rPr>
                <w:rFonts w:hint="eastAsia" w:ascii="宋体" w:hAnsi="宋体" w:eastAsia="宋体" w:cs="宋体"/>
                <w:lang w:eastAsia="en-US"/>
              </w:rPr>
              <w:t>了解合同的概念、调整对象与分类；</w:t>
            </w:r>
          </w:p>
          <w:p w14:paraId="11DCB947">
            <w:pPr>
              <w:pStyle w:val="178"/>
              <w:spacing w:line="360" w:lineRule="exact"/>
              <w:rPr>
                <w:rFonts w:ascii="宋体" w:hAnsi="宋体" w:eastAsia="宋体" w:cs="宋体"/>
                <w:lang w:eastAsia="en-US"/>
              </w:rPr>
            </w:pPr>
            <w:r>
              <w:rPr>
                <w:rFonts w:hint="eastAsia" w:ascii="宋体" w:hAnsi="宋体" w:eastAsia="宋体" w:cs="宋体"/>
                <w:lang w:eastAsia="en-US"/>
              </w:rPr>
              <w:t>7.2违约责任；</w:t>
            </w:r>
          </w:p>
          <w:p w14:paraId="132E6C91">
            <w:pPr>
              <w:pStyle w:val="178"/>
              <w:spacing w:line="360" w:lineRule="exact"/>
              <w:rPr>
                <w:rFonts w:ascii="宋体" w:hAnsi="宋体" w:eastAsia="宋体" w:cs="宋体"/>
                <w:lang w:eastAsia="en-US"/>
              </w:rPr>
            </w:pPr>
            <w:r>
              <w:rPr>
                <w:rFonts w:hint="eastAsia" w:ascii="宋体" w:hAnsi="宋体" w:eastAsia="宋体" w:cs="宋体"/>
                <w:lang w:eastAsia="en-US"/>
              </w:rPr>
              <w:t>7.3合同的订立。</w:t>
            </w:r>
          </w:p>
        </w:tc>
        <w:tc>
          <w:tcPr>
            <w:tcW w:w="1980" w:type="dxa"/>
            <w:tcMar>
              <w:top w:w="0" w:type="dxa"/>
              <w:left w:w="108" w:type="dxa"/>
              <w:bottom w:w="0" w:type="dxa"/>
              <w:right w:w="108" w:type="dxa"/>
            </w:tcMar>
            <w:vAlign w:val="center"/>
          </w:tcPr>
          <w:p w14:paraId="0C1D21E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2D4EBF7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39560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B5B013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7A86E18A">
            <w:pPr>
              <w:pStyle w:val="178"/>
              <w:spacing w:line="360" w:lineRule="exact"/>
              <w:rPr>
                <w:rFonts w:asciiTheme="minorEastAsia" w:hAnsiTheme="minorEastAsia" w:eastAsiaTheme="minorEastAsia" w:cstheme="minorEastAsia"/>
                <w:snapToGrid w:val="0"/>
                <w:spacing w:val="7"/>
                <w:lang w:eastAsia="en-US"/>
              </w:rPr>
            </w:pPr>
            <w:r>
              <w:rPr>
                <w:rFonts w:hint="eastAsia" w:ascii="宋体" w:hAnsi="宋体" w:eastAsia="宋体" w:cs="宋体"/>
                <w:lang w:eastAsia="en-US"/>
              </w:rPr>
              <w:t>7.4合同的内容与合同的效力；</w:t>
            </w:r>
            <w:r>
              <w:rPr>
                <w:rFonts w:hint="eastAsia" w:asciiTheme="minorEastAsia" w:hAnsiTheme="minorEastAsia" w:eastAsiaTheme="minorEastAsia" w:cstheme="minorEastAsia"/>
                <w:snapToGrid w:val="0"/>
                <w:spacing w:val="7"/>
                <w:lang w:eastAsia="en-US"/>
              </w:rPr>
              <w:t>7.5合同的履行的抗辩权。</w:t>
            </w:r>
          </w:p>
        </w:tc>
        <w:tc>
          <w:tcPr>
            <w:tcW w:w="1980" w:type="dxa"/>
            <w:tcMar>
              <w:top w:w="0" w:type="dxa"/>
              <w:left w:w="108" w:type="dxa"/>
              <w:bottom w:w="0" w:type="dxa"/>
              <w:right w:w="108" w:type="dxa"/>
            </w:tcMar>
            <w:vAlign w:val="center"/>
          </w:tcPr>
          <w:p w14:paraId="4A90C6C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487D1A47">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3B40C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101150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1B1832FA">
            <w:pPr>
              <w:pStyle w:val="178"/>
              <w:spacing w:line="360" w:lineRule="exact"/>
              <w:rPr>
                <w:rFonts w:ascii="宋体" w:hAnsi="宋体" w:eastAsia="宋体" w:cs="宋体"/>
                <w:lang w:eastAsia="en-US"/>
              </w:rPr>
            </w:pPr>
            <w:r>
              <w:rPr>
                <w:rFonts w:hint="eastAsia" w:asciiTheme="minorEastAsia" w:hAnsiTheme="minorEastAsia" w:eastAsiaTheme="minorEastAsia" w:cstheme="minorEastAsia"/>
                <w:snapToGrid w:val="0"/>
                <w:spacing w:val="7"/>
                <w:lang w:eastAsia="en-US"/>
              </w:rPr>
              <w:t>7.6合同的保全；</w:t>
            </w:r>
          </w:p>
          <w:p w14:paraId="3B4D4933">
            <w:pPr>
              <w:pStyle w:val="178"/>
              <w:spacing w:line="360" w:lineRule="exact"/>
              <w:rPr>
                <w:rFonts w:ascii="宋体" w:hAnsi="宋体" w:eastAsia="宋体" w:cs="宋体"/>
                <w:lang w:eastAsia="en-US"/>
              </w:rPr>
            </w:pPr>
            <w:r>
              <w:rPr>
                <w:rFonts w:hint="eastAsia" w:ascii="宋体" w:hAnsi="宋体" w:eastAsia="宋体" w:cs="宋体"/>
                <w:lang w:eastAsia="en-US"/>
              </w:rPr>
              <w:t>7.7合同的变更与转让。</w:t>
            </w:r>
          </w:p>
        </w:tc>
        <w:tc>
          <w:tcPr>
            <w:tcW w:w="1980" w:type="dxa"/>
            <w:tcMar>
              <w:top w:w="0" w:type="dxa"/>
              <w:left w:w="108" w:type="dxa"/>
              <w:bottom w:w="0" w:type="dxa"/>
              <w:right w:w="108" w:type="dxa"/>
            </w:tcMar>
            <w:vAlign w:val="center"/>
          </w:tcPr>
          <w:p w14:paraId="2E375206">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0A237CB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75683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1261" w:type="dxa"/>
            <w:tcMar>
              <w:top w:w="0" w:type="dxa"/>
              <w:left w:w="108" w:type="dxa"/>
              <w:bottom w:w="0" w:type="dxa"/>
              <w:right w:w="108" w:type="dxa"/>
            </w:tcMar>
            <w:vAlign w:val="center"/>
          </w:tcPr>
          <w:p w14:paraId="5BE5743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2EEEC95D">
            <w:pPr>
              <w:pStyle w:val="178"/>
              <w:spacing w:line="360" w:lineRule="exact"/>
              <w:rPr>
                <w:rFonts w:ascii="宋体" w:hAnsi="宋体" w:eastAsia="宋体" w:cs="宋体"/>
                <w:lang w:eastAsia="en-US"/>
              </w:rPr>
            </w:pPr>
            <w:r>
              <w:rPr>
                <w:rFonts w:hint="eastAsia" w:ascii="宋体" w:hAnsi="宋体" w:eastAsia="宋体" w:cs="宋体"/>
                <w:lang w:eastAsia="en-US"/>
              </w:rPr>
              <w:t>7.9合同的终止；</w:t>
            </w:r>
          </w:p>
          <w:p w14:paraId="1C089B87">
            <w:pPr>
              <w:rPr>
                <w:snapToGrid w:val="0"/>
                <w:color w:val="000000"/>
                <w:lang w:eastAsia="en-US"/>
              </w:rPr>
            </w:pPr>
            <w:r>
              <w:rPr>
                <w:rFonts w:hint="eastAsia"/>
                <w:snapToGrid w:val="0"/>
                <w:color w:val="000000"/>
                <w:lang w:eastAsia="en-US"/>
              </w:rPr>
              <w:t>8.1经济仲裁的概念与使用范围。</w:t>
            </w:r>
          </w:p>
        </w:tc>
        <w:tc>
          <w:tcPr>
            <w:tcW w:w="1980" w:type="dxa"/>
            <w:tcMar>
              <w:top w:w="0" w:type="dxa"/>
              <w:left w:w="108" w:type="dxa"/>
              <w:bottom w:w="0" w:type="dxa"/>
              <w:right w:w="108" w:type="dxa"/>
            </w:tcMar>
            <w:vAlign w:val="center"/>
          </w:tcPr>
          <w:p w14:paraId="1E8F133C">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616B9624">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07896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5DA6A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03902FA1">
            <w:pPr>
              <w:pStyle w:val="178"/>
              <w:spacing w:line="360" w:lineRule="exact"/>
              <w:rPr>
                <w:rFonts w:ascii="宋体" w:hAnsi="宋体" w:eastAsia="宋体" w:cs="宋体"/>
                <w:lang w:eastAsia="en-US"/>
              </w:rPr>
            </w:pPr>
            <w:r>
              <w:rPr>
                <w:rFonts w:hint="eastAsia" w:asciiTheme="minorEastAsia" w:hAnsiTheme="minorEastAsia" w:eastAsiaTheme="minorEastAsia" w:cstheme="minorEastAsia"/>
                <w:snapToGrid w:val="0"/>
                <w:spacing w:val="7"/>
                <w:lang w:eastAsia="en-US"/>
              </w:rPr>
              <w:t>8.2</w:t>
            </w:r>
            <w:r>
              <w:rPr>
                <w:rFonts w:hint="eastAsia" w:ascii="宋体" w:hAnsi="宋体" w:eastAsia="宋体" w:cs="宋体"/>
                <w:lang w:eastAsia="en-US"/>
              </w:rPr>
              <w:t>经济审判的概念、审判机构与收案范围；</w:t>
            </w:r>
          </w:p>
          <w:p w14:paraId="40D19D65">
            <w:pPr>
              <w:pStyle w:val="178"/>
              <w:spacing w:line="360" w:lineRule="exact"/>
              <w:rPr>
                <w:rFonts w:ascii="宋体" w:hAnsi="宋体" w:eastAsia="宋体" w:cs="宋体"/>
                <w:lang w:eastAsia="en-US"/>
              </w:rPr>
            </w:pPr>
            <w:r>
              <w:rPr>
                <w:rFonts w:hint="eastAsia" w:ascii="宋体" w:hAnsi="宋体" w:eastAsia="宋体" w:cs="宋体"/>
                <w:lang w:eastAsia="en-US"/>
              </w:rPr>
              <w:t>8.3仲裁机构、仲裁协议与仲裁程序</w:t>
            </w:r>
          </w:p>
        </w:tc>
        <w:tc>
          <w:tcPr>
            <w:tcW w:w="1980" w:type="dxa"/>
            <w:tcMar>
              <w:top w:w="0" w:type="dxa"/>
              <w:left w:w="108" w:type="dxa"/>
              <w:bottom w:w="0" w:type="dxa"/>
              <w:right w:w="108" w:type="dxa"/>
            </w:tcMar>
            <w:vAlign w:val="center"/>
          </w:tcPr>
          <w:p w14:paraId="32D6D5CD">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0B601D1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32355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27D5C0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0ECB1156">
            <w:pPr>
              <w:rPr>
                <w:snapToGrid w:val="0"/>
                <w:color w:val="000000"/>
                <w:lang w:eastAsia="en-US"/>
              </w:rPr>
            </w:pPr>
            <w:r>
              <w:rPr>
                <w:rFonts w:hint="eastAsia"/>
                <w:snapToGrid w:val="0"/>
                <w:color w:val="000000"/>
                <w:lang w:eastAsia="en-US"/>
              </w:rPr>
              <w:t>8.4.经济纠纷案件的诉讼程序</w:t>
            </w:r>
          </w:p>
        </w:tc>
        <w:tc>
          <w:tcPr>
            <w:tcW w:w="1980" w:type="dxa"/>
            <w:tcMar>
              <w:top w:w="0" w:type="dxa"/>
              <w:left w:w="108" w:type="dxa"/>
              <w:bottom w:w="0" w:type="dxa"/>
              <w:right w:w="108" w:type="dxa"/>
            </w:tcMar>
            <w:vAlign w:val="center"/>
          </w:tcPr>
          <w:p w14:paraId="28B2EFC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19A401FE">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讲授</w:t>
            </w:r>
          </w:p>
        </w:tc>
      </w:tr>
      <w:tr w14:paraId="1349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4E6B0B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688510CC">
            <w:pPr>
              <w:rPr>
                <w:snapToGrid w:val="0"/>
                <w:color w:val="000000"/>
                <w:lang w:eastAsia="en-US"/>
              </w:rPr>
            </w:pPr>
            <w:r>
              <w:rPr>
                <w:rFonts w:hint="eastAsia"/>
                <w:snapToGrid w:val="0"/>
                <w:color w:val="000000"/>
                <w:lang w:eastAsia="en-US"/>
              </w:rPr>
              <w:t>期末考试</w:t>
            </w:r>
          </w:p>
        </w:tc>
        <w:tc>
          <w:tcPr>
            <w:tcW w:w="1980" w:type="dxa"/>
            <w:tcMar>
              <w:top w:w="0" w:type="dxa"/>
              <w:left w:w="108" w:type="dxa"/>
              <w:bottom w:w="0" w:type="dxa"/>
              <w:right w:w="108" w:type="dxa"/>
            </w:tcMar>
            <w:vAlign w:val="center"/>
          </w:tcPr>
          <w:p w14:paraId="4A713D49">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6</w:t>
            </w:r>
          </w:p>
        </w:tc>
        <w:tc>
          <w:tcPr>
            <w:tcW w:w="2182" w:type="dxa"/>
            <w:tcMar>
              <w:top w:w="0" w:type="dxa"/>
              <w:left w:w="108" w:type="dxa"/>
              <w:bottom w:w="0" w:type="dxa"/>
              <w:right w:w="108" w:type="dxa"/>
            </w:tcMar>
            <w:vAlign w:val="center"/>
          </w:tcPr>
          <w:p w14:paraId="6776156F">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napToGrid w:val="0"/>
                <w:spacing w:val="7"/>
                <w:lang w:eastAsia="en-US"/>
              </w:rPr>
              <w:t>考试</w:t>
            </w:r>
          </w:p>
        </w:tc>
      </w:tr>
    </w:tbl>
    <w:p w14:paraId="1403CF19"/>
    <w:p w14:paraId="5DE55421">
      <w:pPr>
        <w:pStyle w:val="2"/>
        <w:ind w:firstLine="0" w:firstLineChars="0"/>
      </w:pPr>
    </w:p>
    <w:p w14:paraId="54904641">
      <w:pPr>
        <w:rPr>
          <w:rFonts w:hint="eastAsia" w:ascii="黑体" w:hAnsi="黑体" w:eastAsia="黑体" w:cs="黑体"/>
          <w:sz w:val="30"/>
          <w:szCs w:val="30"/>
        </w:rPr>
      </w:pPr>
      <w:bookmarkStart w:id="143" w:name="_Toc636"/>
      <w:bookmarkStart w:id="144" w:name="_Toc14347"/>
      <w:bookmarkStart w:id="145" w:name="_Toc8887"/>
      <w:r>
        <w:rPr>
          <w:rFonts w:hint="eastAsia" w:ascii="黑体" w:hAnsi="黑体" w:eastAsia="黑体" w:cs="黑体"/>
          <w:sz w:val="30"/>
          <w:szCs w:val="30"/>
        </w:rPr>
        <w:br w:type="page"/>
      </w:r>
    </w:p>
    <w:p w14:paraId="5E7621D2">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企业财务会计课程标准</w:t>
      </w:r>
      <w:bookmarkEnd w:id="143"/>
      <w:bookmarkEnd w:id="144"/>
      <w:bookmarkEnd w:id="145"/>
    </w:p>
    <w:p w14:paraId="78636A68">
      <w:pPr>
        <w:pStyle w:val="17"/>
        <w:spacing w:after="0" w:line="400" w:lineRule="exact"/>
        <w:ind w:firstLine="560" w:firstLineChars="200"/>
        <w:rPr>
          <w:rFonts w:ascii="楷体_GB2312" w:eastAsia="楷体_GB2312"/>
          <w:sz w:val="28"/>
          <w:szCs w:val="28"/>
        </w:rPr>
      </w:pPr>
    </w:p>
    <w:p w14:paraId="18F3647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一</w:t>
      </w:r>
      <w:r>
        <w:rPr>
          <w:rFonts w:hint="eastAsia" w:ascii="楷体_GB2312" w:eastAsia="楷体_GB2312"/>
          <w:sz w:val="24"/>
          <w:szCs w:val="24"/>
          <w:lang w:eastAsia="zh-CN"/>
        </w:rPr>
        <w:t>）</w:t>
      </w:r>
      <w:r>
        <w:rPr>
          <w:rFonts w:hint="eastAsia" w:ascii="楷体_GB2312" w:eastAsia="楷体_GB2312"/>
          <w:sz w:val="24"/>
          <w:szCs w:val="24"/>
        </w:rPr>
        <w:t>课程性质与任务</w:t>
      </w:r>
    </w:p>
    <w:p w14:paraId="380907FB">
      <w:pPr>
        <w:spacing w:line="400" w:lineRule="exact"/>
        <w:ind w:firstLine="480" w:firstLineChars="200"/>
        <w:rPr>
          <w:rFonts w:ascii="仿宋_GB2312" w:hAnsi="Times New Roman" w:eastAsia="仿宋_GB2312" w:cs="Times New Roman"/>
          <w:sz w:val="24"/>
          <w:szCs w:val="24"/>
        </w:rPr>
      </w:pPr>
      <w:r>
        <w:rPr>
          <w:rFonts w:ascii="仿宋_GB2312" w:hAnsi="Times New Roman" w:eastAsia="仿宋_GB2312" w:cs="Times New Roman"/>
          <w:sz w:val="24"/>
          <w:szCs w:val="24"/>
        </w:rPr>
        <w:t>本</w:t>
      </w:r>
      <w:r>
        <w:rPr>
          <w:rFonts w:hint="eastAsia" w:ascii="仿宋_GB2312" w:hAnsi="Times New Roman" w:eastAsia="仿宋_GB2312" w:cs="Times New Roman"/>
          <w:sz w:val="24"/>
          <w:szCs w:val="24"/>
        </w:rPr>
        <w:t>课程是中等职业学校会计事务专业的一门专业核心课程，是从事企业财务工作必须学习的课程，将为后续学习其他专业方向（或专业）课程奠定基础</w:t>
      </w:r>
      <w:r>
        <w:rPr>
          <w:rFonts w:ascii="仿宋_GB2312" w:hAnsi="Times New Roman" w:eastAsia="仿宋_GB2312" w:cs="Times New Roman"/>
          <w:sz w:val="24"/>
          <w:szCs w:val="24"/>
        </w:rPr>
        <w:t>。</w:t>
      </w:r>
    </w:p>
    <w:p w14:paraId="0E82FE72">
      <w:pPr>
        <w:spacing w:line="400" w:lineRule="exact"/>
        <w:ind w:firstLine="480"/>
        <w:rPr>
          <w:rFonts w:ascii="仿宋_GB2312" w:hAnsi="Times New Roman" w:eastAsia="仿宋_GB2312" w:cs="Times New Roman"/>
          <w:sz w:val="24"/>
          <w:szCs w:val="24"/>
          <w:highlight w:val="yellow"/>
        </w:rPr>
      </w:pPr>
      <w:r>
        <w:rPr>
          <w:rFonts w:hint="eastAsia" w:ascii="仿宋_GB2312" w:hAnsi="仿宋_GB2312" w:eastAsia="仿宋_GB2312" w:cs="仿宋_GB2312"/>
          <w:sz w:val="24"/>
        </w:rPr>
        <w:t>企业财务会计是现代企业会计的分支之一，是按照会计准则和会计制度的要求，通过确认、计量、记录和定期编制财务报告等程序，对企业的资金运动进行连续、系统、全面、综合的核算与监督，以向企业外部信息使用者提供反映企业的财务状况、经营成果等经济信息为主要目的而进行的一种经济管理活动。经济越发展，会计越重要。企业会计人员将本企业从事管理、服务和生产等经营活动涉及的经济业务，依据《中华人民共和国会计法》《企业会计准则》《会计基础工作规范》等国家有关财经法规和制度，运用相关的专业知识和业务技能进行业务核算和账务处理，最终将本企业的财务信息以会计报告的形式，客观地反映本企业某一时点或某一时期财务状况、经营成果、现金流转以及所有者权益变动情况，以满足投资者、债权人、银行、税务部门等会计信息使用者判断和决策的需要和评价企业管理层受托责任履行情况的需要。</w:t>
      </w:r>
    </w:p>
    <w:p w14:paraId="6D2DEEE9">
      <w:pPr>
        <w:pStyle w:val="17"/>
        <w:spacing w:after="0" w:line="400" w:lineRule="exact"/>
        <w:ind w:firstLine="480" w:firstLineChars="200"/>
        <w:rPr>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二</w:t>
      </w:r>
      <w:r>
        <w:rPr>
          <w:rFonts w:hint="eastAsia" w:ascii="楷体_GB2312" w:eastAsia="楷体_GB2312"/>
          <w:sz w:val="24"/>
          <w:szCs w:val="24"/>
          <w:lang w:eastAsia="zh-CN"/>
        </w:rPr>
        <w:t>）</w:t>
      </w:r>
      <w:r>
        <w:rPr>
          <w:rFonts w:hint="eastAsia" w:ascii="楷体_GB2312" w:eastAsia="楷体_GB2312"/>
          <w:sz w:val="24"/>
          <w:szCs w:val="24"/>
        </w:rPr>
        <w:t>课程教学目标</w:t>
      </w:r>
    </w:p>
    <w:p w14:paraId="287069ED">
      <w:pPr>
        <w:pStyle w:val="17"/>
        <w:spacing w:after="0" w:line="400" w:lineRule="exact"/>
        <w:ind w:firstLine="480" w:firstLineChars="200"/>
        <w:rPr>
          <w:sz w:val="24"/>
          <w:szCs w:val="24"/>
        </w:rPr>
      </w:pPr>
      <w:r>
        <w:rPr>
          <w:rFonts w:hint="eastAsia"/>
          <w:sz w:val="24"/>
          <w:szCs w:val="24"/>
          <w:lang w:val="en-US" w:eastAsia="zh-CN"/>
        </w:rPr>
        <w:t>1.</w:t>
      </w:r>
      <w:r>
        <w:rPr>
          <w:sz w:val="24"/>
          <w:szCs w:val="24"/>
        </w:rPr>
        <w:t>素质目标</w:t>
      </w:r>
    </w:p>
    <w:p w14:paraId="7C1609E9">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能自主学习、归纳和总结会计新知识、新技术和新方法;</w:t>
      </w:r>
    </w:p>
    <w:p w14:paraId="7CD92158">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能通过各种媒体资源查找所需信息解决企业新业务核算;</w:t>
      </w:r>
    </w:p>
    <w:p w14:paraId="0504901C">
      <w:pPr>
        <w:spacing w:line="400" w:lineRule="exact"/>
        <w:ind w:firstLine="480"/>
        <w:rPr>
          <w:rFonts w:ascii="仿宋_GB2312" w:hAnsi="仿宋_GB2312" w:eastAsia="仿宋_GB2312" w:cs="仿宋_GB2312"/>
          <w:b/>
          <w:bCs/>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能根据学习目标，独立制定、实施和评价项目工作计划。</w:t>
      </w:r>
    </w:p>
    <w:p w14:paraId="20B4B9D0">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val="en-US" w:eastAsia="zh-CN"/>
        </w:rPr>
        <w:t>2.</w:t>
      </w:r>
      <w:r>
        <w:rPr>
          <w:rFonts w:hint="eastAsia" w:ascii="仿宋_GB2312" w:eastAsia="仿宋_GB2312" w:cs="仿宋_GB2312"/>
          <w:sz w:val="24"/>
          <w:szCs w:val="24"/>
        </w:rPr>
        <w:t>知识目标</w:t>
      </w:r>
    </w:p>
    <w:p w14:paraId="4CD98805">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能独立完成审核原始凭证、编制记账凭证、登记账簿、编制报表等从事企业经济业务核算的账务处理工作;</w:t>
      </w:r>
    </w:p>
    <w:p w14:paraId="6FA15B34">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能运用相关的专业知识和专业技能进行会计职业的初步职业判断和会计政策的选择;</w:t>
      </w:r>
    </w:p>
    <w:p w14:paraId="767631C2">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能独立完成企业涉及存货采购、商品销售、固定资产、无形资产、职工薪酬、投资、筹资、所得税等一般经济业务核算;</w:t>
      </w:r>
    </w:p>
    <w:p w14:paraId="0F0C48B0">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能独立完成资产负债表、利润表的编制和报送工作;</w:t>
      </w:r>
    </w:p>
    <w:p w14:paraId="719204F5">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能独立完成企业涉及财务成果形成及分配的经济业务核算;</w:t>
      </w:r>
    </w:p>
    <w:p w14:paraId="1354AD05">
      <w:pPr>
        <w:spacing w:line="400" w:lineRule="exact"/>
        <w:ind w:firstLine="480"/>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6</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能熟练进行会计资料的整理、装订、保管、归档、调阅和销毁。</w:t>
      </w:r>
    </w:p>
    <w:p w14:paraId="55A74D44">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val="en-US" w:eastAsia="zh-CN"/>
        </w:rPr>
        <w:t>3.</w:t>
      </w:r>
      <w:r>
        <w:rPr>
          <w:rFonts w:hint="eastAsia" w:ascii="仿宋_GB2312" w:eastAsia="仿宋_GB2312" w:cs="仿宋_GB2312"/>
          <w:sz w:val="24"/>
          <w:szCs w:val="24"/>
        </w:rPr>
        <w:t>能力目标</w:t>
      </w:r>
    </w:p>
    <w:p w14:paraId="115ECC4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1</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具有较强的语言表达、会计职业沟通和协调能力;</w:t>
      </w:r>
    </w:p>
    <w:p w14:paraId="1E7EBFD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2</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具有团队合作和协作精神;</w:t>
      </w:r>
    </w:p>
    <w:p w14:paraId="44176C8D">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3</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具有良好的心理素质、诚信品格和社会责任感;</w:t>
      </w:r>
    </w:p>
    <w:p w14:paraId="0406CBF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4</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具有严格执行会计等相关法律法规的遵纪守法的工作态度;</w:t>
      </w:r>
    </w:p>
    <w:p w14:paraId="1E51D08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5</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 “诚信为本，操守为重，遵循准则，不做假帐”的职业道德;</w:t>
      </w:r>
    </w:p>
    <w:p w14:paraId="797D7BF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eastAsia="zh-CN"/>
        </w:rPr>
        <w:t>（</w:t>
      </w:r>
      <w:r>
        <w:rPr>
          <w:rFonts w:hint="eastAsia" w:ascii="仿宋_GB2312" w:eastAsia="仿宋_GB2312" w:cs="仿宋_GB2312"/>
          <w:sz w:val="24"/>
          <w:szCs w:val="24"/>
          <w:lang w:val="en-US" w:eastAsia="zh-CN"/>
        </w:rPr>
        <w:t>6</w:t>
      </w:r>
      <w:r>
        <w:rPr>
          <w:rFonts w:hint="eastAsia" w:ascii="仿宋_GB2312" w:eastAsia="仿宋_GB2312" w:cs="仿宋_GB2312"/>
          <w:sz w:val="24"/>
          <w:szCs w:val="24"/>
          <w:lang w:eastAsia="zh-CN"/>
        </w:rPr>
        <w:t>）</w:t>
      </w:r>
      <w:r>
        <w:rPr>
          <w:rFonts w:hint="eastAsia" w:ascii="仿宋_GB2312" w:eastAsia="仿宋_GB2312" w:cs="仿宋_GB2312"/>
          <w:sz w:val="24"/>
          <w:szCs w:val="24"/>
        </w:rPr>
        <w:t>具有踏实肯干的工作作风和主动、热情、耐心的服务意识。</w:t>
      </w:r>
    </w:p>
    <w:p w14:paraId="151E0AF6">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三</w:t>
      </w:r>
      <w:r>
        <w:rPr>
          <w:rFonts w:hint="eastAsia" w:ascii="楷体_GB2312" w:eastAsia="楷体_GB2312"/>
          <w:sz w:val="24"/>
          <w:szCs w:val="24"/>
          <w:lang w:eastAsia="zh-CN"/>
        </w:rPr>
        <w:t>）</w:t>
      </w:r>
      <w:r>
        <w:rPr>
          <w:rFonts w:hint="eastAsia" w:ascii="楷体_GB2312" w:eastAsia="楷体_GB2312"/>
          <w:sz w:val="24"/>
          <w:szCs w:val="24"/>
        </w:rPr>
        <w:t>参考学时</w:t>
      </w:r>
    </w:p>
    <w:p w14:paraId="679A6E3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112学时。</w:t>
      </w:r>
    </w:p>
    <w:p w14:paraId="4DAF96FF">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3797409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9学分。</w:t>
      </w:r>
    </w:p>
    <w:p w14:paraId="46A374F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3768B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4212878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0E34408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24A4087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2E29F0D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196A6AF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500B46A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267E2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47C06B5">
            <w:pPr>
              <w:adjustRightInd w:val="0"/>
              <w:spacing w:line="360" w:lineRule="exact"/>
              <w:jc w:val="center"/>
              <w:rPr>
                <w:rFonts w:asciiTheme="minorEastAsia" w:hAnsiTheme="minorEastAsia" w:cstheme="minorEastAsia"/>
              </w:rPr>
            </w:pPr>
            <w:r>
              <w:rPr>
                <w:rFonts w:hint="eastAsia"/>
              </w:rPr>
              <w:t>1</w:t>
            </w:r>
          </w:p>
        </w:tc>
        <w:tc>
          <w:tcPr>
            <w:tcW w:w="1089" w:type="dxa"/>
            <w:vAlign w:val="center"/>
          </w:tcPr>
          <w:p w14:paraId="11BEBB44">
            <w:pPr>
              <w:adjustRightInd w:val="0"/>
              <w:spacing w:line="360" w:lineRule="exact"/>
              <w:rPr>
                <w:rFonts w:asciiTheme="minorEastAsia" w:hAnsiTheme="minorEastAsia" w:cstheme="minorEastAsia"/>
              </w:rPr>
            </w:pPr>
            <w:r>
              <w:rPr>
                <w:rFonts w:hint="eastAsia"/>
              </w:rPr>
              <w:t>财务会计认知</w:t>
            </w:r>
          </w:p>
        </w:tc>
        <w:tc>
          <w:tcPr>
            <w:tcW w:w="2880" w:type="dxa"/>
            <w:vAlign w:val="center"/>
          </w:tcPr>
          <w:p w14:paraId="14F2E63A">
            <w:r>
              <w:rPr>
                <w:rFonts w:hint="eastAsia"/>
              </w:rPr>
              <w:t>1.理解财务会计的基本概念和特点；</w:t>
            </w:r>
          </w:p>
          <w:p w14:paraId="728EBC4D">
            <w:r>
              <w:rPr>
                <w:rFonts w:hint="eastAsia"/>
              </w:rPr>
              <w:t>2.掌握财务会计核算的内容和目标；</w:t>
            </w:r>
          </w:p>
          <w:p w14:paraId="084D61F9">
            <w:r>
              <w:rPr>
                <w:rFonts w:hint="eastAsia"/>
              </w:rPr>
              <w:t>3.理解财务会计的基本理论；</w:t>
            </w:r>
          </w:p>
          <w:p w14:paraId="6BC889A5">
            <w:pPr>
              <w:adjustRightInd w:val="0"/>
              <w:spacing w:line="360" w:lineRule="exact"/>
              <w:rPr>
                <w:rFonts w:asciiTheme="minorEastAsia" w:hAnsiTheme="minorEastAsia" w:cstheme="minorEastAsia"/>
              </w:rPr>
            </w:pPr>
            <w:r>
              <w:rPr>
                <w:rFonts w:hint="eastAsia"/>
              </w:rPr>
              <w:t>4.了解企业财务会计体系和基本内容。</w:t>
            </w:r>
          </w:p>
        </w:tc>
        <w:tc>
          <w:tcPr>
            <w:tcW w:w="2682" w:type="dxa"/>
            <w:vAlign w:val="center"/>
          </w:tcPr>
          <w:p w14:paraId="4F1BCA87">
            <w:r>
              <w:rPr>
                <w:rFonts w:hint="eastAsia"/>
              </w:rPr>
              <w:t>1.多媒体课件展示财务会计的内容和目的；</w:t>
            </w:r>
          </w:p>
          <w:p w14:paraId="298E1F32">
            <w:r>
              <w:rPr>
                <w:rFonts w:hint="eastAsia"/>
              </w:rPr>
              <w:t>2.结合适当的案例分析使学生理解会计核算的基本假设和信息质量要求；</w:t>
            </w:r>
          </w:p>
          <w:p w14:paraId="1A6B2615">
            <w:r>
              <w:rPr>
                <w:rFonts w:hint="eastAsia"/>
              </w:rPr>
              <w:t>3.对会计基本假设和信息质量要求的讲解应配合适当案例，以便于学生理解。</w:t>
            </w:r>
          </w:p>
          <w:p w14:paraId="213CB787">
            <w:pPr>
              <w:spacing w:line="360" w:lineRule="exact"/>
              <w:rPr>
                <w:rFonts w:asciiTheme="minorEastAsia" w:hAnsiTheme="minorEastAsia" w:cstheme="minorEastAsia"/>
              </w:rPr>
            </w:pPr>
            <w:r>
              <w:rPr>
                <w:rFonts w:hint="eastAsia"/>
              </w:rPr>
              <w:t>4.明确学生的职业发展规划，增强严谨自律的职业理念，培养学生的爱国主义精神。</w:t>
            </w:r>
          </w:p>
        </w:tc>
        <w:tc>
          <w:tcPr>
            <w:tcW w:w="724" w:type="dxa"/>
            <w:vAlign w:val="center"/>
          </w:tcPr>
          <w:p w14:paraId="67323992">
            <w:pPr>
              <w:adjustRightInd w:val="0"/>
              <w:spacing w:line="360" w:lineRule="exact"/>
              <w:jc w:val="center"/>
              <w:rPr>
                <w:rFonts w:asciiTheme="minorEastAsia" w:hAnsiTheme="minorEastAsia" w:cstheme="minorEastAsia"/>
              </w:rPr>
            </w:pPr>
            <w:r>
              <w:rPr>
                <w:rFonts w:hint="eastAsia"/>
              </w:rPr>
              <w:t>8</w:t>
            </w:r>
          </w:p>
        </w:tc>
      </w:tr>
      <w:tr w14:paraId="2F3C6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5E97EDC">
            <w:pPr>
              <w:adjustRightInd w:val="0"/>
              <w:spacing w:line="360" w:lineRule="exact"/>
              <w:jc w:val="center"/>
              <w:rPr>
                <w:rFonts w:asciiTheme="minorEastAsia" w:hAnsiTheme="minorEastAsia" w:cstheme="minorEastAsia"/>
              </w:rPr>
            </w:pPr>
            <w:r>
              <w:rPr>
                <w:rFonts w:hint="eastAsia"/>
              </w:rPr>
              <w:t>2</w:t>
            </w:r>
          </w:p>
        </w:tc>
        <w:tc>
          <w:tcPr>
            <w:tcW w:w="1089" w:type="dxa"/>
            <w:vAlign w:val="center"/>
          </w:tcPr>
          <w:p w14:paraId="61E86B5D">
            <w:pPr>
              <w:adjustRightInd w:val="0"/>
              <w:spacing w:line="360" w:lineRule="exact"/>
              <w:rPr>
                <w:rFonts w:asciiTheme="minorEastAsia" w:hAnsiTheme="minorEastAsia" w:cstheme="minorEastAsia"/>
              </w:rPr>
            </w:pPr>
            <w:r>
              <w:rPr>
                <w:rFonts w:hint="eastAsia"/>
              </w:rPr>
              <w:t>货币资金</w:t>
            </w:r>
          </w:p>
        </w:tc>
        <w:tc>
          <w:tcPr>
            <w:tcW w:w="2880" w:type="dxa"/>
            <w:vAlign w:val="center"/>
          </w:tcPr>
          <w:p w14:paraId="198E3299">
            <w:r>
              <w:rPr>
                <w:rFonts w:hint="eastAsia"/>
              </w:rPr>
              <w:t>1.掌握库存现金、银行存款、其他货币资金的管理制度、日常收付的账务处理以及库存现金清查和银行存款核对的方法；</w:t>
            </w:r>
          </w:p>
          <w:p w14:paraId="2E7B68C3">
            <w:pPr>
              <w:adjustRightInd w:val="0"/>
              <w:spacing w:line="360" w:lineRule="exact"/>
              <w:rPr>
                <w:rFonts w:asciiTheme="minorEastAsia" w:hAnsiTheme="minorEastAsia" w:cstheme="minorEastAsia"/>
              </w:rPr>
            </w:pPr>
          </w:p>
        </w:tc>
        <w:tc>
          <w:tcPr>
            <w:tcW w:w="2682" w:type="dxa"/>
            <w:vAlign w:val="center"/>
          </w:tcPr>
          <w:p w14:paraId="3AF5095A">
            <w:r>
              <w:rPr>
                <w:rFonts w:hint="eastAsia"/>
              </w:rPr>
              <w:t>1.理论课在多媒体教室进行，案例分析和实务操作课在分岗位实训室进行；</w:t>
            </w:r>
          </w:p>
          <w:p w14:paraId="34F3E601">
            <w:r>
              <w:rPr>
                <w:rFonts w:hint="eastAsia"/>
              </w:rPr>
              <w:t>2.采用讲授与案例分析、实务操作相结合的教学方式，案例分析可采用小组讨论的方式进行，实务操作要求独立完成。</w:t>
            </w:r>
          </w:p>
        </w:tc>
        <w:tc>
          <w:tcPr>
            <w:tcW w:w="724" w:type="dxa"/>
            <w:vAlign w:val="center"/>
          </w:tcPr>
          <w:p w14:paraId="6B7E527D">
            <w:pPr>
              <w:adjustRightInd w:val="0"/>
              <w:spacing w:line="360" w:lineRule="exact"/>
              <w:jc w:val="center"/>
              <w:rPr>
                <w:rFonts w:asciiTheme="minorEastAsia" w:hAnsiTheme="minorEastAsia" w:cstheme="minorEastAsia"/>
              </w:rPr>
            </w:pPr>
            <w:r>
              <w:rPr>
                <w:rFonts w:hint="eastAsia"/>
              </w:rPr>
              <w:t>2</w:t>
            </w:r>
          </w:p>
        </w:tc>
      </w:tr>
      <w:tr w14:paraId="6D707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DDAF0F1">
            <w:pPr>
              <w:adjustRightInd w:val="0"/>
              <w:spacing w:line="360" w:lineRule="exact"/>
              <w:jc w:val="center"/>
              <w:rPr>
                <w:rFonts w:asciiTheme="minorEastAsia" w:hAnsiTheme="minorEastAsia" w:cstheme="minorEastAsia"/>
              </w:rPr>
            </w:pPr>
            <w:r>
              <w:rPr>
                <w:rFonts w:hint="eastAsia"/>
              </w:rPr>
              <w:t>3</w:t>
            </w:r>
          </w:p>
        </w:tc>
        <w:tc>
          <w:tcPr>
            <w:tcW w:w="1089" w:type="dxa"/>
            <w:vAlign w:val="center"/>
          </w:tcPr>
          <w:p w14:paraId="06978E46">
            <w:pPr>
              <w:adjustRightInd w:val="0"/>
              <w:spacing w:line="360" w:lineRule="exact"/>
              <w:rPr>
                <w:rFonts w:asciiTheme="minorEastAsia" w:hAnsiTheme="minorEastAsia" w:cstheme="minorEastAsia"/>
              </w:rPr>
            </w:pPr>
            <w:r>
              <w:rPr>
                <w:rFonts w:hint="eastAsia"/>
              </w:rPr>
              <w:t>应收及预付款项</w:t>
            </w:r>
          </w:p>
        </w:tc>
        <w:tc>
          <w:tcPr>
            <w:tcW w:w="2880" w:type="dxa"/>
            <w:vAlign w:val="center"/>
          </w:tcPr>
          <w:p w14:paraId="48B3ED0E">
            <w:pPr>
              <w:adjustRightInd w:val="0"/>
              <w:spacing w:line="360" w:lineRule="exact"/>
              <w:rPr>
                <w:rFonts w:asciiTheme="minorEastAsia" w:hAnsiTheme="minorEastAsia" w:cstheme="minorEastAsia"/>
              </w:rPr>
            </w:pPr>
            <w:r>
              <w:rPr>
                <w:rFonts w:hint="eastAsia"/>
              </w:rPr>
              <w:t>1. 掌握应收账款、应收票据、预付账款、其他应收款的账务处理及坏账准备的账务处理。</w:t>
            </w:r>
          </w:p>
        </w:tc>
        <w:tc>
          <w:tcPr>
            <w:tcW w:w="2682" w:type="dxa"/>
            <w:vAlign w:val="center"/>
          </w:tcPr>
          <w:p w14:paraId="1E6F4594">
            <w:r>
              <w:rPr>
                <w:rFonts w:hint="eastAsia"/>
              </w:rPr>
              <w:t>1.在进行交易性金融资产的讲授时，可以引导学生进行“模拟炒股”并进行账务处理，让学生体会知识的实用性</w:t>
            </w:r>
            <w:r>
              <w:rPr>
                <w:rFonts w:hint="eastAsia" w:cs="等线 Light"/>
              </w:rPr>
              <w:t>。</w:t>
            </w:r>
          </w:p>
        </w:tc>
        <w:tc>
          <w:tcPr>
            <w:tcW w:w="724" w:type="dxa"/>
            <w:vAlign w:val="center"/>
          </w:tcPr>
          <w:p w14:paraId="2768FDEF">
            <w:pPr>
              <w:adjustRightInd w:val="0"/>
              <w:spacing w:line="360" w:lineRule="exact"/>
              <w:jc w:val="center"/>
              <w:rPr>
                <w:rFonts w:asciiTheme="minorEastAsia" w:hAnsiTheme="minorEastAsia" w:cstheme="minorEastAsia"/>
              </w:rPr>
            </w:pPr>
            <w:r>
              <w:rPr>
                <w:rFonts w:hint="eastAsia"/>
              </w:rPr>
              <w:t>6</w:t>
            </w:r>
          </w:p>
        </w:tc>
      </w:tr>
      <w:tr w14:paraId="27337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BCEDB9F">
            <w:pPr>
              <w:adjustRightInd w:val="0"/>
              <w:spacing w:line="360" w:lineRule="exact"/>
              <w:jc w:val="center"/>
              <w:rPr>
                <w:rFonts w:asciiTheme="minorEastAsia" w:hAnsiTheme="minorEastAsia" w:cstheme="minorEastAsia"/>
              </w:rPr>
            </w:pPr>
            <w:r>
              <w:rPr>
                <w:rFonts w:hint="eastAsia"/>
              </w:rPr>
              <w:t>4</w:t>
            </w:r>
          </w:p>
        </w:tc>
        <w:tc>
          <w:tcPr>
            <w:tcW w:w="1089" w:type="dxa"/>
            <w:vAlign w:val="center"/>
          </w:tcPr>
          <w:p w14:paraId="333D01BC">
            <w:pPr>
              <w:adjustRightInd w:val="0"/>
              <w:spacing w:line="360" w:lineRule="exact"/>
              <w:rPr>
                <w:rFonts w:asciiTheme="minorEastAsia" w:hAnsiTheme="minorEastAsia" w:cstheme="minorEastAsia"/>
              </w:rPr>
            </w:pPr>
            <w:r>
              <w:rPr>
                <w:rFonts w:hint="eastAsia"/>
              </w:rPr>
              <w:t>存货</w:t>
            </w:r>
          </w:p>
        </w:tc>
        <w:tc>
          <w:tcPr>
            <w:tcW w:w="2880" w:type="dxa"/>
            <w:vAlign w:val="center"/>
          </w:tcPr>
          <w:p w14:paraId="18DB44F4">
            <w:pPr>
              <w:adjustRightInd w:val="0"/>
              <w:spacing w:line="360" w:lineRule="exact"/>
              <w:rPr>
                <w:rFonts w:asciiTheme="minorEastAsia" w:hAnsiTheme="minorEastAsia" w:cstheme="minorEastAsia"/>
              </w:rPr>
            </w:pPr>
            <w:r>
              <w:rPr>
                <w:rFonts w:hint="eastAsia"/>
              </w:rPr>
              <w:t>1.掌握存货（按实际成本计价和按计划成本计价）的账务处理，熟悉存货清查的程序、方法及账务处理，了解存货跌价准备的账务处理。</w:t>
            </w:r>
          </w:p>
        </w:tc>
        <w:tc>
          <w:tcPr>
            <w:tcW w:w="2682" w:type="dxa"/>
            <w:vAlign w:val="center"/>
          </w:tcPr>
          <w:p w14:paraId="2E458B49">
            <w:r>
              <w:rPr>
                <w:rFonts w:hint="eastAsia"/>
              </w:rPr>
              <w:t>1.这一项目中的货币资金、应收款项、存货的核算为本课程的重点内容之一，讲授过程应紧紧抓住重点，注重理论联系实际，要求学生理解透彻，灵活运用。</w:t>
            </w:r>
          </w:p>
          <w:p w14:paraId="49F38C43">
            <w:pPr>
              <w:adjustRightInd w:val="0"/>
              <w:spacing w:line="360" w:lineRule="exact"/>
              <w:rPr>
                <w:rFonts w:asciiTheme="minorEastAsia" w:hAnsiTheme="minorEastAsia" w:cstheme="minorEastAsia"/>
              </w:rPr>
            </w:pPr>
            <w:r>
              <w:rPr>
                <w:rFonts w:hint="eastAsia"/>
              </w:rPr>
              <w:t>5.提高学生的技能，树立民族文化自信，培养学生廉洁自律的精神。</w:t>
            </w:r>
          </w:p>
        </w:tc>
        <w:tc>
          <w:tcPr>
            <w:tcW w:w="724" w:type="dxa"/>
            <w:vAlign w:val="center"/>
          </w:tcPr>
          <w:p w14:paraId="3B8D756F">
            <w:pPr>
              <w:adjustRightInd w:val="0"/>
              <w:spacing w:line="360" w:lineRule="exact"/>
              <w:jc w:val="center"/>
              <w:rPr>
                <w:rFonts w:asciiTheme="minorEastAsia" w:hAnsiTheme="minorEastAsia" w:cstheme="minorEastAsia"/>
              </w:rPr>
            </w:pPr>
            <w:r>
              <w:rPr>
                <w:rFonts w:hint="eastAsia"/>
              </w:rPr>
              <w:t>6</w:t>
            </w:r>
          </w:p>
        </w:tc>
      </w:tr>
      <w:tr w14:paraId="3089C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4B9684C">
            <w:pPr>
              <w:adjustRightInd w:val="0"/>
              <w:spacing w:line="360" w:lineRule="exact"/>
              <w:jc w:val="center"/>
            </w:pPr>
            <w:r>
              <w:rPr>
                <w:rFonts w:hint="eastAsia"/>
              </w:rPr>
              <w:t>5</w:t>
            </w:r>
          </w:p>
        </w:tc>
        <w:tc>
          <w:tcPr>
            <w:tcW w:w="1089" w:type="dxa"/>
            <w:vAlign w:val="center"/>
          </w:tcPr>
          <w:p w14:paraId="06EA186D">
            <w:pPr>
              <w:adjustRightInd w:val="0"/>
              <w:spacing w:line="360" w:lineRule="exact"/>
            </w:pPr>
            <w:r>
              <w:rPr>
                <w:rFonts w:hint="eastAsia"/>
              </w:rPr>
              <w:t>固定资产</w:t>
            </w:r>
          </w:p>
        </w:tc>
        <w:tc>
          <w:tcPr>
            <w:tcW w:w="2880" w:type="dxa"/>
            <w:vAlign w:val="center"/>
          </w:tcPr>
          <w:p w14:paraId="11496539">
            <w:r>
              <w:rPr>
                <w:rFonts w:hint="eastAsia"/>
              </w:rPr>
              <w:t>1.掌握长期股权投资核算的成本法和权益法的运用；</w:t>
            </w:r>
          </w:p>
          <w:p w14:paraId="2F253922">
            <w:r>
              <w:rPr>
                <w:rFonts w:hint="eastAsia"/>
              </w:rPr>
              <w:t>2.熟练掌握固定资产取得、折旧、处置和清查的账务处理，能熟练运用折旧计提方法计提折旧；</w:t>
            </w:r>
          </w:p>
        </w:tc>
        <w:tc>
          <w:tcPr>
            <w:tcW w:w="2682" w:type="dxa"/>
            <w:vAlign w:val="center"/>
          </w:tcPr>
          <w:p w14:paraId="7E89B5CE">
            <w:r>
              <w:rPr>
                <w:rFonts w:hint="eastAsia"/>
              </w:rPr>
              <w:t>1.案例分析和实务操作课在分岗位实训室进行；</w:t>
            </w:r>
          </w:p>
          <w:p w14:paraId="66E30A00">
            <w:r>
              <w:rPr>
                <w:rFonts w:hint="eastAsia"/>
              </w:rPr>
              <w:t>2.采用讲授与案例分析、实务操作相结合的教学方式，案例分析可采用小组讨论的方式进行，实务操作要求分工合作共同完成；</w:t>
            </w:r>
          </w:p>
          <w:p w14:paraId="7A87D199">
            <w:r>
              <w:rPr>
                <w:rFonts w:hint="eastAsia"/>
              </w:rPr>
              <w:t>3.这一项目中的固定资产核算为本课程的重点内容之一，讲授过程应注重理论联系实际，注意比较固定资产折旧的处理，加深学生对知识的理解。</w:t>
            </w:r>
          </w:p>
          <w:p w14:paraId="4E36924B">
            <w:r>
              <w:rPr>
                <w:rFonts w:hint="eastAsia"/>
              </w:rPr>
              <w:t>4.培养学生客观公正的职业理念，提高学生素质和能力，促进会计行业健康发展。</w:t>
            </w:r>
          </w:p>
        </w:tc>
        <w:tc>
          <w:tcPr>
            <w:tcW w:w="724" w:type="dxa"/>
            <w:vAlign w:val="center"/>
          </w:tcPr>
          <w:p w14:paraId="1AF7FD44">
            <w:pPr>
              <w:adjustRightInd w:val="0"/>
              <w:spacing w:line="360" w:lineRule="exact"/>
              <w:jc w:val="center"/>
            </w:pPr>
            <w:r>
              <w:rPr>
                <w:rFonts w:hint="eastAsia"/>
              </w:rPr>
              <w:t>10</w:t>
            </w:r>
          </w:p>
        </w:tc>
      </w:tr>
      <w:tr w14:paraId="6C45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3C3376E">
            <w:pPr>
              <w:adjustRightInd w:val="0"/>
              <w:spacing w:line="360" w:lineRule="exact"/>
              <w:jc w:val="center"/>
            </w:pPr>
            <w:r>
              <w:rPr>
                <w:rFonts w:hint="eastAsia"/>
              </w:rPr>
              <w:t>6</w:t>
            </w:r>
          </w:p>
        </w:tc>
        <w:tc>
          <w:tcPr>
            <w:tcW w:w="1089" w:type="dxa"/>
            <w:vAlign w:val="center"/>
          </w:tcPr>
          <w:p w14:paraId="61B51C22">
            <w:pPr>
              <w:adjustRightInd w:val="0"/>
              <w:spacing w:line="360" w:lineRule="exact"/>
            </w:pPr>
            <w:r>
              <w:rPr>
                <w:rFonts w:hint="eastAsia"/>
              </w:rPr>
              <w:t>无形资产</w:t>
            </w:r>
          </w:p>
        </w:tc>
        <w:tc>
          <w:tcPr>
            <w:tcW w:w="2880" w:type="dxa"/>
            <w:vAlign w:val="center"/>
          </w:tcPr>
          <w:p w14:paraId="6B2E6333">
            <w:r>
              <w:rPr>
                <w:rFonts w:hint="eastAsia"/>
              </w:rPr>
              <w:t>1.熟练掌握无形资产取得、摊销和处置的账务处理，能熟练计算无形资产的摊销额；</w:t>
            </w:r>
          </w:p>
          <w:p w14:paraId="3376EA76">
            <w:r>
              <w:rPr>
                <w:rFonts w:hint="eastAsia"/>
              </w:rPr>
              <w:t>2.掌握长期待摊费用的摊销额计算及账务处理。</w:t>
            </w:r>
          </w:p>
        </w:tc>
        <w:tc>
          <w:tcPr>
            <w:tcW w:w="2682" w:type="dxa"/>
            <w:vAlign w:val="center"/>
          </w:tcPr>
          <w:p w14:paraId="22746360">
            <w:r>
              <w:rPr>
                <w:rFonts w:hint="eastAsia"/>
              </w:rPr>
              <w:t>1.案例分析和实务操作课在分岗位实训室进行；</w:t>
            </w:r>
          </w:p>
          <w:p w14:paraId="60CE3681">
            <w:r>
              <w:rPr>
                <w:rFonts w:hint="eastAsia"/>
              </w:rPr>
              <w:t>2.采用讲授与案例分析、实务操作相结合的教学方式，案例分析可采用小组讨论的方式进行，实务操作要求分工合作共同完成；</w:t>
            </w:r>
          </w:p>
          <w:p w14:paraId="6F48C2BE">
            <w:r>
              <w:rPr>
                <w:rFonts w:hint="eastAsia"/>
              </w:rPr>
              <w:t>3.这一项目中的无形资产核算为本课程的重点内容之一，讲授过程应注重理论联系实际，注意无形资产摊销的处理，加深学生对知识的理解。</w:t>
            </w:r>
          </w:p>
          <w:p w14:paraId="51A1E815">
            <w:r>
              <w:rPr>
                <w:rFonts w:hint="eastAsia"/>
              </w:rPr>
              <w:t>4.培养学生客观公正的职业理念，提高学生素质和能力，促进会计行业健康发展。</w:t>
            </w:r>
          </w:p>
        </w:tc>
        <w:tc>
          <w:tcPr>
            <w:tcW w:w="724" w:type="dxa"/>
            <w:vAlign w:val="center"/>
          </w:tcPr>
          <w:p w14:paraId="39FE0CAA">
            <w:pPr>
              <w:adjustRightInd w:val="0"/>
              <w:spacing w:line="360" w:lineRule="exact"/>
              <w:jc w:val="center"/>
            </w:pPr>
            <w:r>
              <w:rPr>
                <w:rFonts w:hint="eastAsia"/>
              </w:rPr>
              <w:t>6</w:t>
            </w:r>
          </w:p>
        </w:tc>
      </w:tr>
      <w:tr w14:paraId="094FA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E67A6FD">
            <w:pPr>
              <w:adjustRightInd w:val="0"/>
              <w:spacing w:line="360" w:lineRule="exact"/>
              <w:jc w:val="center"/>
            </w:pPr>
            <w:r>
              <w:rPr>
                <w:rFonts w:hint="eastAsia"/>
              </w:rPr>
              <w:t>7</w:t>
            </w:r>
          </w:p>
        </w:tc>
        <w:tc>
          <w:tcPr>
            <w:tcW w:w="1089" w:type="dxa"/>
            <w:vAlign w:val="center"/>
          </w:tcPr>
          <w:p w14:paraId="06AAD792">
            <w:pPr>
              <w:adjustRightInd w:val="0"/>
              <w:spacing w:line="360" w:lineRule="exact"/>
            </w:pPr>
            <w:r>
              <w:rPr>
                <w:rFonts w:hint="eastAsia"/>
              </w:rPr>
              <w:t>负债</w:t>
            </w:r>
          </w:p>
        </w:tc>
        <w:tc>
          <w:tcPr>
            <w:tcW w:w="2880" w:type="dxa"/>
            <w:vAlign w:val="center"/>
          </w:tcPr>
          <w:p w14:paraId="1BA68A5F">
            <w:r>
              <w:rPr>
                <w:rFonts w:hint="eastAsia"/>
              </w:rPr>
              <w:t>1.熟练掌握短期借款、应付票据、应付账款、预收账款、应付职工薪酬、应交税费、应付利息、应付股利、其他应付款的账务处理；</w:t>
            </w:r>
          </w:p>
          <w:p w14:paraId="5B0F7C91">
            <w:r>
              <w:rPr>
                <w:rFonts w:hint="eastAsia"/>
              </w:rPr>
              <w:t>2.熟练掌握长期借款的账务处理，了解应付债券的账务处理。</w:t>
            </w:r>
          </w:p>
        </w:tc>
        <w:tc>
          <w:tcPr>
            <w:tcW w:w="2682" w:type="dxa"/>
            <w:vAlign w:val="center"/>
          </w:tcPr>
          <w:p w14:paraId="74C1979E">
            <w:r>
              <w:rPr>
                <w:rFonts w:hint="eastAsia"/>
              </w:rPr>
              <w:t>1.案例分析可采用小组讨论的方式进行，实务操作要求分工合作共同完成；</w:t>
            </w:r>
          </w:p>
          <w:p w14:paraId="3B8978AD">
            <w:r>
              <w:rPr>
                <w:rFonts w:hint="eastAsia"/>
              </w:rPr>
              <w:t>2.这一项目中的短期借款、应付票据、应付账款、预收账款、应付职工薪酬、应交税费、长期借款核算为本课程的重点内容之一；</w:t>
            </w:r>
          </w:p>
          <w:p w14:paraId="430C135F">
            <w:r>
              <w:rPr>
                <w:rFonts w:hint="eastAsia"/>
              </w:rPr>
              <w:t>3.模拟练习应交增值税多栏式明细账的设置和登记。</w:t>
            </w:r>
          </w:p>
          <w:p w14:paraId="597DB91C">
            <w:r>
              <w:rPr>
                <w:rFonts w:hint="eastAsia"/>
              </w:rPr>
              <w:t>4.培养学生实事求是的精神，坚持准则，强化服务，遵守法律。</w:t>
            </w:r>
          </w:p>
        </w:tc>
        <w:tc>
          <w:tcPr>
            <w:tcW w:w="724" w:type="dxa"/>
            <w:vAlign w:val="center"/>
          </w:tcPr>
          <w:p w14:paraId="0413C67C">
            <w:pPr>
              <w:adjustRightInd w:val="0"/>
              <w:spacing w:line="360" w:lineRule="exact"/>
              <w:jc w:val="center"/>
            </w:pPr>
            <w:r>
              <w:rPr>
                <w:rFonts w:hint="eastAsia"/>
              </w:rPr>
              <w:t>20</w:t>
            </w:r>
          </w:p>
        </w:tc>
      </w:tr>
      <w:tr w14:paraId="41E4D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7FAB144">
            <w:pPr>
              <w:adjustRightInd w:val="0"/>
              <w:spacing w:line="360" w:lineRule="exact"/>
              <w:jc w:val="center"/>
            </w:pPr>
            <w:r>
              <w:rPr>
                <w:rFonts w:hint="eastAsia"/>
              </w:rPr>
              <w:t>8</w:t>
            </w:r>
          </w:p>
        </w:tc>
        <w:tc>
          <w:tcPr>
            <w:tcW w:w="1089" w:type="dxa"/>
            <w:vAlign w:val="center"/>
          </w:tcPr>
          <w:p w14:paraId="121E08C8">
            <w:pPr>
              <w:adjustRightInd w:val="0"/>
              <w:spacing w:line="360" w:lineRule="exact"/>
            </w:pPr>
            <w:r>
              <w:rPr>
                <w:rFonts w:hint="eastAsia"/>
              </w:rPr>
              <w:t>成本费用核算</w:t>
            </w:r>
          </w:p>
        </w:tc>
        <w:tc>
          <w:tcPr>
            <w:tcW w:w="2880" w:type="dxa"/>
            <w:vAlign w:val="center"/>
          </w:tcPr>
          <w:p w14:paraId="2B396DB0">
            <w:r>
              <w:rPr>
                <w:rFonts w:hint="eastAsia"/>
              </w:rPr>
              <w:t>1.了解成本核算的基本概念、内容及任务；</w:t>
            </w:r>
          </w:p>
          <w:p w14:paraId="51B04454">
            <w:r>
              <w:rPr>
                <w:rFonts w:hint="eastAsia"/>
              </w:rPr>
              <w:t>2.了解费用的分类与构成；</w:t>
            </w:r>
          </w:p>
          <w:p w14:paraId="3CA7C599">
            <w:r>
              <w:rPr>
                <w:rFonts w:hint="eastAsia"/>
              </w:rPr>
              <w:t>3.了解成本核算的基本程序与一般方法；</w:t>
            </w:r>
          </w:p>
          <w:p w14:paraId="3EA5A140">
            <w:r>
              <w:rPr>
                <w:rFonts w:hint="eastAsia"/>
              </w:rPr>
              <w:t>4.掌握要素费用归集分配的原理；</w:t>
            </w:r>
          </w:p>
          <w:p w14:paraId="33D87862">
            <w:r>
              <w:rPr>
                <w:rFonts w:hint="eastAsia"/>
              </w:rPr>
              <w:t>5.掌握生产费用在完工产品和在产品之间分配；</w:t>
            </w:r>
          </w:p>
          <w:p w14:paraId="04024806">
            <w:r>
              <w:rPr>
                <w:rFonts w:hint="eastAsia"/>
              </w:rPr>
              <w:t>6.能根据企业的生产特点与管理要求选择合适的产品成本计算方法；</w:t>
            </w:r>
          </w:p>
          <w:p w14:paraId="25A34064">
            <w:r>
              <w:rPr>
                <w:rFonts w:hint="eastAsia"/>
              </w:rPr>
              <w:t>7.掌握期间费用的核算要点；</w:t>
            </w:r>
          </w:p>
          <w:p w14:paraId="2646A2EF">
            <w:r>
              <w:rPr>
                <w:rFonts w:hint="eastAsia"/>
              </w:rPr>
              <w:t>8.明确成本报表的编制要求，熟悉基本成本报表的结构和编制方法。</w:t>
            </w:r>
          </w:p>
        </w:tc>
        <w:tc>
          <w:tcPr>
            <w:tcW w:w="2682" w:type="dxa"/>
            <w:vAlign w:val="center"/>
          </w:tcPr>
          <w:p w14:paraId="03C26807">
            <w:r>
              <w:rPr>
                <w:rFonts w:hint="eastAsia"/>
              </w:rPr>
              <w:t>1.选取不同类型企业，组织学生观摩，并讨论其产品成本计算方法的选择；</w:t>
            </w:r>
          </w:p>
          <w:p w14:paraId="6B40D5D0">
            <w:r>
              <w:rPr>
                <w:rFonts w:hint="eastAsia"/>
              </w:rPr>
              <w:t>2.介绍产品成本核算的相关会计制度；</w:t>
            </w:r>
          </w:p>
          <w:p w14:paraId="47ABB19E">
            <w:r>
              <w:rPr>
                <w:rFonts w:hint="eastAsia"/>
              </w:rPr>
              <w:t>3.突出生产费用的基本分配方法应用训练；</w:t>
            </w:r>
          </w:p>
          <w:p w14:paraId="11A7E4B7">
            <w:r>
              <w:rPr>
                <w:rFonts w:hint="eastAsia"/>
              </w:rPr>
              <w:t>4.各种费用分配采用案例分析与业务实训的方式；</w:t>
            </w:r>
          </w:p>
          <w:p w14:paraId="61A9F6AE">
            <w:r>
              <w:rPr>
                <w:rFonts w:hint="eastAsia"/>
              </w:rPr>
              <w:t>5.设计有一定在产品的生产企业的教学环境，进行品种法的实例分析；</w:t>
            </w:r>
          </w:p>
          <w:p w14:paraId="74AE0F18">
            <w:r>
              <w:rPr>
                <w:rFonts w:hint="eastAsia"/>
              </w:rPr>
              <w:t>6.通过案例，训练基本成本报表的编制和分析。</w:t>
            </w:r>
          </w:p>
          <w:p w14:paraId="44A7A0A7">
            <w:r>
              <w:rPr>
                <w:rFonts w:hint="eastAsia"/>
              </w:rPr>
              <w:t>7.养成学生勤俭节约的习惯，参与管理，强化服务意识。</w:t>
            </w:r>
          </w:p>
        </w:tc>
        <w:tc>
          <w:tcPr>
            <w:tcW w:w="724" w:type="dxa"/>
            <w:vAlign w:val="center"/>
          </w:tcPr>
          <w:p w14:paraId="482317B8">
            <w:pPr>
              <w:adjustRightInd w:val="0"/>
              <w:spacing w:line="360" w:lineRule="exact"/>
              <w:jc w:val="center"/>
            </w:pPr>
            <w:r>
              <w:rPr>
                <w:rFonts w:hint="eastAsia"/>
              </w:rPr>
              <w:t>16</w:t>
            </w:r>
          </w:p>
        </w:tc>
      </w:tr>
      <w:tr w14:paraId="78DEE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4454158">
            <w:pPr>
              <w:adjustRightInd w:val="0"/>
              <w:spacing w:line="360" w:lineRule="exact"/>
              <w:jc w:val="center"/>
            </w:pPr>
            <w:r>
              <w:rPr>
                <w:rFonts w:hint="eastAsia"/>
              </w:rPr>
              <w:t>9</w:t>
            </w:r>
          </w:p>
        </w:tc>
        <w:tc>
          <w:tcPr>
            <w:tcW w:w="1089" w:type="dxa"/>
            <w:vAlign w:val="center"/>
          </w:tcPr>
          <w:p w14:paraId="3C908C62">
            <w:pPr>
              <w:adjustRightInd w:val="0"/>
              <w:spacing w:line="360" w:lineRule="exact"/>
            </w:pPr>
            <w:r>
              <w:rPr>
                <w:rFonts w:hint="eastAsia"/>
              </w:rPr>
              <w:t>所有者权益</w:t>
            </w:r>
          </w:p>
        </w:tc>
        <w:tc>
          <w:tcPr>
            <w:tcW w:w="2880" w:type="dxa"/>
            <w:vAlign w:val="center"/>
          </w:tcPr>
          <w:p w14:paraId="72951137">
            <w:r>
              <w:rPr>
                <w:rFonts w:hint="eastAsia"/>
              </w:rPr>
              <w:t>1.掌握所有者权益的内容和特点；</w:t>
            </w:r>
          </w:p>
          <w:p w14:paraId="6F3557A8">
            <w:r>
              <w:rPr>
                <w:rFonts w:hint="eastAsia"/>
              </w:rPr>
              <w:t>2.熟练掌握实收资本的取得及账务处理；</w:t>
            </w:r>
          </w:p>
          <w:p w14:paraId="3613A69A">
            <w:r>
              <w:rPr>
                <w:rFonts w:hint="eastAsia"/>
              </w:rPr>
              <w:t>3.熟练掌握资本公积的形成及账务处理；</w:t>
            </w:r>
          </w:p>
          <w:p w14:paraId="46933ECF">
            <w:r>
              <w:rPr>
                <w:rFonts w:hint="eastAsia"/>
              </w:rPr>
              <w:t>4.熟练掌握留存收益的形成及账务处理。</w:t>
            </w:r>
          </w:p>
        </w:tc>
        <w:tc>
          <w:tcPr>
            <w:tcW w:w="2682" w:type="dxa"/>
            <w:vAlign w:val="center"/>
          </w:tcPr>
          <w:p w14:paraId="1DB6623E">
            <w:r>
              <w:rPr>
                <w:rFonts w:hint="eastAsia"/>
              </w:rPr>
              <w:t>1.理论课在多媒体教室进行，案例分析和实务操作课在分岗位实训室进行；</w:t>
            </w:r>
          </w:p>
          <w:p w14:paraId="64D506E6">
            <w:r>
              <w:rPr>
                <w:rFonts w:hint="eastAsia"/>
              </w:rPr>
              <w:t>2.采用讲授与案例分析、实务操作相结合的教学方式，案例分析可采用小组讨论的方式进行，实务操作要求分工合作共同完成；</w:t>
            </w:r>
          </w:p>
          <w:p w14:paraId="23B0BB76">
            <w:r>
              <w:rPr>
                <w:rFonts w:hint="eastAsia"/>
              </w:rPr>
              <w:t>3.这一项目中的实收资本、留存收益核算为本课程的重点内容之一，讲授过程应注重理论联系实际，要求学生理解透彻，灵活运用。</w:t>
            </w:r>
          </w:p>
          <w:p w14:paraId="1AB4FB07">
            <w:r>
              <w:rPr>
                <w:rFonts w:hint="eastAsia"/>
              </w:rPr>
              <w:t>4.培养学生明确个人职业发展规划，提高技能，参与管理，养成企业主人翁的意识。</w:t>
            </w:r>
          </w:p>
        </w:tc>
        <w:tc>
          <w:tcPr>
            <w:tcW w:w="724" w:type="dxa"/>
            <w:vAlign w:val="center"/>
          </w:tcPr>
          <w:p w14:paraId="4FE90A54">
            <w:pPr>
              <w:adjustRightInd w:val="0"/>
              <w:spacing w:line="360" w:lineRule="exact"/>
              <w:jc w:val="center"/>
            </w:pPr>
            <w:r>
              <w:rPr>
                <w:rFonts w:hint="eastAsia"/>
              </w:rPr>
              <w:t>16</w:t>
            </w:r>
          </w:p>
        </w:tc>
      </w:tr>
      <w:tr w14:paraId="10CE3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D04F5FF">
            <w:pPr>
              <w:adjustRightInd w:val="0"/>
              <w:spacing w:line="360" w:lineRule="exact"/>
              <w:jc w:val="center"/>
            </w:pPr>
            <w:r>
              <w:rPr>
                <w:rFonts w:hint="eastAsia"/>
              </w:rPr>
              <w:t>10</w:t>
            </w:r>
          </w:p>
        </w:tc>
        <w:tc>
          <w:tcPr>
            <w:tcW w:w="1089" w:type="dxa"/>
            <w:vAlign w:val="center"/>
          </w:tcPr>
          <w:p w14:paraId="0F60AD46">
            <w:pPr>
              <w:adjustRightInd w:val="0"/>
              <w:spacing w:line="360" w:lineRule="exact"/>
            </w:pPr>
            <w:r>
              <w:rPr>
                <w:rFonts w:hint="eastAsia"/>
              </w:rPr>
              <w:t>收入、费用、利润</w:t>
            </w:r>
          </w:p>
        </w:tc>
        <w:tc>
          <w:tcPr>
            <w:tcW w:w="2880" w:type="dxa"/>
            <w:vAlign w:val="center"/>
          </w:tcPr>
          <w:p w14:paraId="45E674C1">
            <w:r>
              <w:rPr>
                <w:rFonts w:hint="eastAsia"/>
              </w:rPr>
              <w:t>1.掌握主营业务收入、其他业务收入取得和销售折扣、折让、退回的账务处理；</w:t>
            </w:r>
          </w:p>
          <w:p w14:paraId="4483F6B7">
            <w:r>
              <w:rPr>
                <w:rFonts w:hint="eastAsia"/>
              </w:rPr>
              <w:t>2.掌握利润形成及分配的账务处理，能熟练计算利润、所得税费用、净利润。</w:t>
            </w:r>
          </w:p>
        </w:tc>
        <w:tc>
          <w:tcPr>
            <w:tcW w:w="2682" w:type="dxa"/>
            <w:vAlign w:val="center"/>
          </w:tcPr>
          <w:p w14:paraId="5AF4AE5A">
            <w:r>
              <w:rPr>
                <w:rFonts w:hint="eastAsia"/>
              </w:rPr>
              <w:t>1.理论课在多媒体教室进行，案例分析和实务操作课在分岗位实训室进；</w:t>
            </w:r>
          </w:p>
          <w:p w14:paraId="143E3D8F">
            <w:r>
              <w:rPr>
                <w:rFonts w:hint="eastAsia"/>
              </w:rPr>
              <w:t>2.采用讲授与案例分析、实务操作相结合的教学方式，案例分析可采用小组讨论的方式进行，实务操作要求分工合作共同完成；</w:t>
            </w:r>
          </w:p>
          <w:p w14:paraId="2F6B3E2A">
            <w:r>
              <w:rPr>
                <w:rFonts w:hint="eastAsia"/>
              </w:rPr>
              <w:t>3.这一项目中的主营业务收入、利润的核算为本课程的重点内容之一，讲授过程应注重理论联系实际，要求学生理解透彻，灵活运用。</w:t>
            </w:r>
          </w:p>
          <w:p w14:paraId="3EFDDF9E">
            <w:r>
              <w:rPr>
                <w:rFonts w:hint="eastAsia"/>
              </w:rPr>
              <w:t>4.增强学生的管理意识，严谨态度，培养学生的会计素养。</w:t>
            </w:r>
          </w:p>
        </w:tc>
        <w:tc>
          <w:tcPr>
            <w:tcW w:w="724" w:type="dxa"/>
            <w:vAlign w:val="center"/>
          </w:tcPr>
          <w:p w14:paraId="2DC52936">
            <w:pPr>
              <w:adjustRightInd w:val="0"/>
              <w:spacing w:line="360" w:lineRule="exact"/>
              <w:jc w:val="center"/>
            </w:pPr>
            <w:r>
              <w:rPr>
                <w:rFonts w:hint="eastAsia"/>
              </w:rPr>
              <w:t>18</w:t>
            </w:r>
          </w:p>
        </w:tc>
      </w:tr>
    </w:tbl>
    <w:p w14:paraId="23DC891F">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37BBB98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1.教学方法</w:t>
      </w:r>
    </w:p>
    <w:p w14:paraId="3BEBB90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665E51A1">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4307625F">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任务驱动法中穿插了讲授法、案例分析法、分组讨论、头脑风暴法、角色扮演法等教学方法。</w:t>
      </w:r>
    </w:p>
    <w:p w14:paraId="28292D10">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2</w:t>
      </w:r>
      <w:r>
        <w:rPr>
          <w:rFonts w:hint="eastAsia" w:ascii="仿宋_GB2312" w:eastAsia="仿宋_GB2312" w:cs="仿宋_GB2312"/>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0FA87514">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w:t>
      </w:r>
      <w:r>
        <w:rPr>
          <w:rFonts w:ascii="仿宋_GB2312" w:eastAsia="仿宋_GB2312" w:cs="仿宋_GB2312"/>
          <w:sz w:val="24"/>
          <w:szCs w:val="24"/>
        </w:rPr>
        <w:t>3</w:t>
      </w:r>
      <w:r>
        <w:rPr>
          <w:rFonts w:hint="eastAsia" w:ascii="仿宋_GB2312" w:eastAsia="仿宋_GB2312" w:cs="仿宋_GB2312"/>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37CB1B3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2.评价方法</w:t>
      </w:r>
    </w:p>
    <w:p w14:paraId="5792F5B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评价方式本课程考核分为知识鉴定成绩和能力鉴定成绩两部分，其中知识鉴定成绩占总成绩的60%，能力鉴定成绩占总成绩的40%，主要考核与评价学生对财务会计人员应具备理论知识的理解与应用、会计及其相关岗位所需基本技能的掌握以及职业素质的养成。</w:t>
      </w:r>
    </w:p>
    <w:p w14:paraId="37AF58B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（1）知识鉴定成绩分为平时知识鉴定成绩、期中知识鉴定成绩、期末知识综合性鉴定成绩三部分。</w:t>
      </w:r>
    </w:p>
    <w:p w14:paraId="3445271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（2）能力鉴定成绩分为平时能力鉴定成绩和期末能力综合性鉴定成绩两部分。</w:t>
      </w:r>
    </w:p>
    <w:p w14:paraId="33B5B8A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3.教学条件</w:t>
      </w:r>
    </w:p>
    <w:p w14:paraId="4B7542D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课程采用理实一体化教学模式，将教学内容的组织与会计核算工作过程相结合，以工作任务为驱动，培养学生掌握会计核算所需的知识、技能和素质。采用的教学方法有：模块教学法、直观教学法、角色扮演法、学案导学法、案例教学法、任务驱动法、六步教学法、研讨式教学法等。并面向每个学生个性发展，关注学生在行动过程中所产生的学习体验和创造性表现，培养分析问题、解决问题的能力和团队合作精神。</w:t>
      </w:r>
    </w:p>
    <w:p w14:paraId="267252C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将思政融入教学，实现全程育人、全方位育人，将德育教育融入所学知识，现在越来越多的单位将道德职业素养放在用人的首位。因此在培养学生掌握基本技能的基础上，要更加重视引导学生树立正确的人生观、价值观，成为爱岗敬业、诚实守信、严谨认真的财务人员。</w:t>
      </w:r>
    </w:p>
    <w:p w14:paraId="4A83B3DF">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4.教材编选</w:t>
      </w:r>
    </w:p>
    <w:p w14:paraId="617856B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（1）教材选用体现新技术、新工艺、新规范等内容的高质量教材，以课程标准为编写依据，充分体现项目引领、理实一体化的课程设计思想的教材。</w:t>
      </w:r>
    </w:p>
    <w:p w14:paraId="0788EA81">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教材应以培养的学生能胜任会计基本岗位为出发点，以工作任务为驱动，把专业理论知识与专业技能结合起来，把专业基本能力培养和关键能力培养一体化进行，培养学生掌握财务会计实务的相关知识、技能和素质。</w:t>
      </w:r>
    </w:p>
    <w:p w14:paraId="4470A7FD">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（3）教材应突出实用性，同时要具有前瞻性，应将本专业领域的发展趋势及实际业务操作中的新知识、新方法及时纳入其中。</w:t>
      </w:r>
    </w:p>
    <w:p w14:paraId="6D827FD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（4）教材文字表述要简明扼要，内容展现应图文并茂、突出重点，重在提高学生学习的主动性和积极性。</w:t>
      </w:r>
    </w:p>
    <w:p w14:paraId="56A335BB">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（5）教材中的活动设计要具有可操作性。</w:t>
      </w:r>
    </w:p>
    <w:p w14:paraId="5B8DFD6D">
      <w:pPr>
        <w:pStyle w:val="17"/>
        <w:spacing w:line="360" w:lineRule="auto"/>
        <w:jc w:val="center"/>
        <w:rPr>
          <w:rFonts w:ascii="黑体" w:hAnsi="黑体" w:eastAsia="黑体"/>
          <w:sz w:val="28"/>
          <w:szCs w:val="28"/>
        </w:rPr>
      </w:pPr>
    </w:p>
    <w:p w14:paraId="6E7425D0">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281BE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4E4541F7">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49C53DA2">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43D85B8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04CABB79">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6C2BF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7910E16">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71B2EE9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财务会计认知</w:t>
            </w:r>
          </w:p>
        </w:tc>
        <w:tc>
          <w:tcPr>
            <w:tcW w:w="1980" w:type="dxa"/>
            <w:tcMar>
              <w:top w:w="0" w:type="dxa"/>
              <w:left w:w="108" w:type="dxa"/>
              <w:bottom w:w="0" w:type="dxa"/>
              <w:right w:w="108" w:type="dxa"/>
            </w:tcMar>
            <w:vAlign w:val="center"/>
          </w:tcPr>
          <w:p w14:paraId="10A3860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4C540E5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24050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0B5240BC">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0D0E996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货币资金、应收账款</w:t>
            </w:r>
          </w:p>
        </w:tc>
        <w:tc>
          <w:tcPr>
            <w:tcW w:w="1980" w:type="dxa"/>
            <w:tcMar>
              <w:top w:w="0" w:type="dxa"/>
              <w:left w:w="108" w:type="dxa"/>
              <w:bottom w:w="0" w:type="dxa"/>
              <w:right w:w="108" w:type="dxa"/>
            </w:tcMar>
            <w:vAlign w:val="center"/>
          </w:tcPr>
          <w:p w14:paraId="314030E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3405223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DA6E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23D7F89">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5D4D13D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应收票据、预付账款</w:t>
            </w:r>
          </w:p>
        </w:tc>
        <w:tc>
          <w:tcPr>
            <w:tcW w:w="1980" w:type="dxa"/>
            <w:tcMar>
              <w:top w:w="0" w:type="dxa"/>
              <w:left w:w="108" w:type="dxa"/>
              <w:bottom w:w="0" w:type="dxa"/>
              <w:right w:w="108" w:type="dxa"/>
            </w:tcMar>
            <w:vAlign w:val="center"/>
          </w:tcPr>
          <w:p w14:paraId="2975F3A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433CC65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A8A3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754D40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63C32BB4">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存货的账务处理</w:t>
            </w:r>
          </w:p>
        </w:tc>
        <w:tc>
          <w:tcPr>
            <w:tcW w:w="1980" w:type="dxa"/>
            <w:tcMar>
              <w:top w:w="0" w:type="dxa"/>
              <w:left w:w="108" w:type="dxa"/>
              <w:bottom w:w="0" w:type="dxa"/>
              <w:right w:w="108" w:type="dxa"/>
            </w:tcMar>
            <w:vAlign w:val="center"/>
          </w:tcPr>
          <w:p w14:paraId="38D56634">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7B52270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DC5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40AB70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0D28935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长期股权投资核算</w:t>
            </w:r>
          </w:p>
        </w:tc>
        <w:tc>
          <w:tcPr>
            <w:tcW w:w="1980" w:type="dxa"/>
            <w:tcMar>
              <w:top w:w="0" w:type="dxa"/>
              <w:left w:w="108" w:type="dxa"/>
              <w:bottom w:w="0" w:type="dxa"/>
              <w:right w:w="108" w:type="dxa"/>
            </w:tcMar>
            <w:vAlign w:val="center"/>
          </w:tcPr>
          <w:p w14:paraId="2B84331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1EB8184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E1BB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4EE828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54A330C5">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固定资产取得、折旧、处置和请查的账务处理</w:t>
            </w:r>
          </w:p>
        </w:tc>
        <w:tc>
          <w:tcPr>
            <w:tcW w:w="1980" w:type="dxa"/>
            <w:tcMar>
              <w:top w:w="0" w:type="dxa"/>
              <w:left w:w="108" w:type="dxa"/>
              <w:bottom w:w="0" w:type="dxa"/>
              <w:right w:w="108" w:type="dxa"/>
            </w:tcMar>
            <w:vAlign w:val="center"/>
          </w:tcPr>
          <w:p w14:paraId="1BFF9AB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008C5C7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22B7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2D7F24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7E71B45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无形资产和长期待摊费用的核算</w:t>
            </w:r>
          </w:p>
        </w:tc>
        <w:tc>
          <w:tcPr>
            <w:tcW w:w="1980" w:type="dxa"/>
            <w:tcMar>
              <w:top w:w="0" w:type="dxa"/>
              <w:left w:w="108" w:type="dxa"/>
              <w:bottom w:w="0" w:type="dxa"/>
              <w:right w:w="108" w:type="dxa"/>
            </w:tcMar>
            <w:vAlign w:val="center"/>
          </w:tcPr>
          <w:p w14:paraId="0F75E42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61C199E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994E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22921D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6D8ABF33">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短期借款、应付票据的核算</w:t>
            </w:r>
          </w:p>
        </w:tc>
        <w:tc>
          <w:tcPr>
            <w:tcW w:w="1980" w:type="dxa"/>
            <w:tcMar>
              <w:top w:w="0" w:type="dxa"/>
              <w:left w:w="108" w:type="dxa"/>
              <w:bottom w:w="0" w:type="dxa"/>
              <w:right w:w="108" w:type="dxa"/>
            </w:tcMar>
            <w:vAlign w:val="center"/>
          </w:tcPr>
          <w:p w14:paraId="080103E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4F52DDB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89A2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39B96C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7D8CF1B4">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应付账款、预收账款的核算</w:t>
            </w:r>
          </w:p>
        </w:tc>
        <w:tc>
          <w:tcPr>
            <w:tcW w:w="1980" w:type="dxa"/>
            <w:tcMar>
              <w:top w:w="0" w:type="dxa"/>
              <w:left w:w="108" w:type="dxa"/>
              <w:bottom w:w="0" w:type="dxa"/>
              <w:right w:w="108" w:type="dxa"/>
            </w:tcMar>
            <w:vAlign w:val="center"/>
          </w:tcPr>
          <w:p w14:paraId="6116ADF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63C9983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7D55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F98591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74A8DE0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期中考试</w:t>
            </w:r>
          </w:p>
        </w:tc>
        <w:tc>
          <w:tcPr>
            <w:tcW w:w="1980" w:type="dxa"/>
            <w:tcMar>
              <w:top w:w="0" w:type="dxa"/>
              <w:left w:w="108" w:type="dxa"/>
              <w:bottom w:w="0" w:type="dxa"/>
              <w:right w:w="108" w:type="dxa"/>
            </w:tcMar>
            <w:vAlign w:val="center"/>
          </w:tcPr>
          <w:p w14:paraId="23C34A6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4B16E12D">
            <w:pPr>
              <w:pStyle w:val="178"/>
              <w:spacing w:line="360" w:lineRule="exact"/>
              <w:jc w:val="center"/>
              <w:rPr>
                <w:rFonts w:asciiTheme="minorEastAsia" w:hAnsiTheme="minorEastAsia" w:eastAsiaTheme="minorEastAsia" w:cstheme="minorEastAsia"/>
                <w:spacing w:val="7"/>
                <w:lang w:eastAsia="en-US"/>
              </w:rPr>
            </w:pPr>
          </w:p>
        </w:tc>
      </w:tr>
      <w:tr w14:paraId="4543D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EE1CA5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40B9580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长期借款、应付债券的核算</w:t>
            </w:r>
          </w:p>
        </w:tc>
        <w:tc>
          <w:tcPr>
            <w:tcW w:w="1980" w:type="dxa"/>
            <w:tcMar>
              <w:top w:w="0" w:type="dxa"/>
              <w:left w:w="108" w:type="dxa"/>
              <w:bottom w:w="0" w:type="dxa"/>
              <w:right w:w="108" w:type="dxa"/>
            </w:tcMar>
            <w:vAlign w:val="center"/>
          </w:tcPr>
          <w:p w14:paraId="202CA6D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1DA7F4B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D999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26E609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261DC18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成本核算、费用的分类与构成</w:t>
            </w:r>
          </w:p>
        </w:tc>
        <w:tc>
          <w:tcPr>
            <w:tcW w:w="1980" w:type="dxa"/>
            <w:tcMar>
              <w:top w:w="0" w:type="dxa"/>
              <w:left w:w="108" w:type="dxa"/>
              <w:bottom w:w="0" w:type="dxa"/>
              <w:right w:w="108" w:type="dxa"/>
            </w:tcMar>
            <w:vAlign w:val="center"/>
          </w:tcPr>
          <w:p w14:paraId="1DE78C7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52B2878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98C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5CC6E5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27DC057B">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成本核算的基本程序、费用归集与分配的原理</w:t>
            </w:r>
          </w:p>
        </w:tc>
        <w:tc>
          <w:tcPr>
            <w:tcW w:w="1980" w:type="dxa"/>
            <w:tcMar>
              <w:top w:w="0" w:type="dxa"/>
              <w:left w:w="108" w:type="dxa"/>
              <w:bottom w:w="0" w:type="dxa"/>
              <w:right w:w="108" w:type="dxa"/>
            </w:tcMar>
            <w:vAlign w:val="center"/>
          </w:tcPr>
          <w:p w14:paraId="48A332A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5F349D3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3133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52C27D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0D76E35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期间费用的核算、生产费用在完工产品和在产品之间的分配</w:t>
            </w:r>
          </w:p>
        </w:tc>
        <w:tc>
          <w:tcPr>
            <w:tcW w:w="1980" w:type="dxa"/>
            <w:tcMar>
              <w:top w:w="0" w:type="dxa"/>
              <w:left w:w="108" w:type="dxa"/>
              <w:bottom w:w="0" w:type="dxa"/>
              <w:right w:w="108" w:type="dxa"/>
            </w:tcMar>
            <w:vAlign w:val="center"/>
          </w:tcPr>
          <w:p w14:paraId="5EA0752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0C4ADF9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31F1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E1E3FE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659A378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所有者权益的内容与特点</w:t>
            </w:r>
          </w:p>
        </w:tc>
        <w:tc>
          <w:tcPr>
            <w:tcW w:w="1980" w:type="dxa"/>
            <w:tcMar>
              <w:top w:w="0" w:type="dxa"/>
              <w:left w:w="108" w:type="dxa"/>
              <w:bottom w:w="0" w:type="dxa"/>
              <w:right w:w="108" w:type="dxa"/>
            </w:tcMar>
            <w:vAlign w:val="center"/>
          </w:tcPr>
          <w:p w14:paraId="1BCEC1D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388C8AD4">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7D93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44AC96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36A2E7C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实收资本与资本公积的账务处理</w:t>
            </w:r>
          </w:p>
        </w:tc>
        <w:tc>
          <w:tcPr>
            <w:tcW w:w="1980" w:type="dxa"/>
            <w:tcMar>
              <w:top w:w="0" w:type="dxa"/>
              <w:left w:w="108" w:type="dxa"/>
              <w:bottom w:w="0" w:type="dxa"/>
              <w:right w:w="108" w:type="dxa"/>
            </w:tcMar>
            <w:vAlign w:val="center"/>
          </w:tcPr>
          <w:p w14:paraId="4C6826E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5A4E6D8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6F3E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273501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4C6FB4E0">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留存收益的账务处理</w:t>
            </w:r>
          </w:p>
        </w:tc>
        <w:tc>
          <w:tcPr>
            <w:tcW w:w="1980" w:type="dxa"/>
            <w:tcMar>
              <w:top w:w="0" w:type="dxa"/>
              <w:left w:w="108" w:type="dxa"/>
              <w:bottom w:w="0" w:type="dxa"/>
              <w:right w:w="108" w:type="dxa"/>
            </w:tcMar>
            <w:vAlign w:val="center"/>
          </w:tcPr>
          <w:p w14:paraId="580330B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096EF71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2CCD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E20D2E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2CB3944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收入的账务处理</w:t>
            </w:r>
          </w:p>
        </w:tc>
        <w:tc>
          <w:tcPr>
            <w:tcW w:w="1980" w:type="dxa"/>
            <w:tcMar>
              <w:top w:w="0" w:type="dxa"/>
              <w:left w:w="108" w:type="dxa"/>
              <w:bottom w:w="0" w:type="dxa"/>
              <w:right w:w="108" w:type="dxa"/>
            </w:tcMar>
            <w:vAlign w:val="center"/>
          </w:tcPr>
          <w:p w14:paraId="4758E59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2D2DCDC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297A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169B41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56DB1D4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利润取得与分配的账务处理</w:t>
            </w:r>
          </w:p>
        </w:tc>
        <w:tc>
          <w:tcPr>
            <w:tcW w:w="1980" w:type="dxa"/>
            <w:tcMar>
              <w:top w:w="0" w:type="dxa"/>
              <w:left w:w="108" w:type="dxa"/>
              <w:bottom w:w="0" w:type="dxa"/>
              <w:right w:w="108" w:type="dxa"/>
            </w:tcMar>
            <w:vAlign w:val="center"/>
          </w:tcPr>
          <w:p w14:paraId="3A73694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3CD725A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050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A03CE2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19E58CC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期末考试</w:t>
            </w:r>
          </w:p>
        </w:tc>
        <w:tc>
          <w:tcPr>
            <w:tcW w:w="1980" w:type="dxa"/>
            <w:tcMar>
              <w:top w:w="0" w:type="dxa"/>
              <w:left w:w="108" w:type="dxa"/>
              <w:bottom w:w="0" w:type="dxa"/>
              <w:right w:w="108" w:type="dxa"/>
            </w:tcMar>
            <w:vAlign w:val="center"/>
          </w:tcPr>
          <w:p w14:paraId="3BFDA1C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tcPr>
          <w:p w14:paraId="5B1AB190">
            <w:pPr>
              <w:pStyle w:val="178"/>
              <w:spacing w:line="360" w:lineRule="exact"/>
              <w:jc w:val="center"/>
              <w:rPr>
                <w:rFonts w:asciiTheme="minorEastAsia" w:hAnsiTheme="minorEastAsia" w:eastAsiaTheme="minorEastAsia" w:cstheme="minorEastAsia"/>
                <w:spacing w:val="7"/>
                <w:lang w:eastAsia="en-US"/>
              </w:rPr>
            </w:pPr>
          </w:p>
        </w:tc>
      </w:tr>
    </w:tbl>
    <w:p w14:paraId="43D86CC3">
      <w:r>
        <w:br w:type="page"/>
      </w:r>
    </w:p>
    <w:p w14:paraId="0B1DDCC5">
      <w:pPr>
        <w:pStyle w:val="17"/>
        <w:spacing w:before="156" w:beforeLines="50" w:after="156" w:afterLines="50"/>
        <w:jc w:val="center"/>
        <w:outlineLvl w:val="2"/>
        <w:rPr>
          <w:rFonts w:ascii="黑体" w:hAnsi="黑体" w:eastAsia="黑体" w:cs="黑体"/>
          <w:sz w:val="30"/>
          <w:szCs w:val="30"/>
        </w:rPr>
      </w:pPr>
      <w:bookmarkStart w:id="146" w:name="_Toc30205"/>
      <w:bookmarkStart w:id="147" w:name="_Toc24336"/>
      <w:bookmarkStart w:id="148" w:name="_Toc27898"/>
      <w:r>
        <w:rPr>
          <w:rFonts w:hint="eastAsia" w:ascii="黑体" w:hAnsi="黑体" w:eastAsia="黑体" w:cs="黑体"/>
          <w:sz w:val="30"/>
          <w:szCs w:val="30"/>
        </w:rPr>
        <w:t>税收基础课程标准</w:t>
      </w:r>
      <w:bookmarkEnd w:id="146"/>
      <w:bookmarkEnd w:id="147"/>
      <w:bookmarkEnd w:id="148"/>
    </w:p>
    <w:p w14:paraId="17115FB5">
      <w:pPr>
        <w:pStyle w:val="17"/>
        <w:spacing w:after="0" w:line="400" w:lineRule="exact"/>
        <w:ind w:firstLine="560" w:firstLineChars="200"/>
        <w:rPr>
          <w:rFonts w:ascii="楷体_GB2312" w:eastAsia="楷体_GB2312"/>
          <w:sz w:val="28"/>
          <w:szCs w:val="28"/>
        </w:rPr>
      </w:pPr>
    </w:p>
    <w:p w14:paraId="26712FE5">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3C3209C1">
      <w:pPr>
        <w:spacing w:line="400" w:lineRule="exact"/>
        <w:ind w:firstLine="480" w:firstLineChars="200"/>
        <w:rPr>
          <w:rFonts w:ascii="仿宋_GB2312" w:hAnsi="Times New Roman" w:eastAsia="仿宋_GB2312" w:cs="Times New Roman"/>
          <w:sz w:val="24"/>
          <w:szCs w:val="24"/>
        </w:rPr>
      </w:pPr>
      <w:r>
        <w:rPr>
          <w:rFonts w:ascii="仿宋_GB2312" w:hAnsi="Times New Roman" w:eastAsia="仿宋_GB2312" w:cs="Times New Roman"/>
          <w:sz w:val="24"/>
          <w:szCs w:val="24"/>
        </w:rPr>
        <w:t>本</w:t>
      </w:r>
      <w:r>
        <w:rPr>
          <w:rFonts w:hint="eastAsia" w:ascii="仿宋_GB2312" w:hAnsi="Times New Roman" w:eastAsia="仿宋_GB2312" w:cs="Times New Roman"/>
          <w:sz w:val="24"/>
          <w:szCs w:val="24"/>
        </w:rPr>
        <w:t>课程是中等职业学校会计事务专业的一门专业核心课程，是从事物流客户服务工作必须学习的课程，将为后续学习其他专业方向（或专业）课程奠定基础</w:t>
      </w:r>
      <w:r>
        <w:rPr>
          <w:rFonts w:ascii="仿宋_GB2312" w:hAnsi="Times New Roman" w:eastAsia="仿宋_GB2312" w:cs="Times New Roman"/>
          <w:sz w:val="24"/>
          <w:szCs w:val="24"/>
        </w:rPr>
        <w:t>。</w:t>
      </w:r>
    </w:p>
    <w:p w14:paraId="2F6A61CC">
      <w:pPr>
        <w:pStyle w:val="17"/>
        <w:spacing w:after="0" w:line="400" w:lineRule="exact"/>
        <w:ind w:firstLine="480" w:firstLineChars="200"/>
        <w:rPr>
          <w:rFonts w:ascii="仿宋_GB2312"/>
          <w:sz w:val="24"/>
          <w:szCs w:val="24"/>
        </w:rPr>
      </w:pPr>
      <w:r>
        <w:rPr>
          <w:rFonts w:hint="eastAsia" w:ascii="仿宋_GB2312"/>
          <w:sz w:val="24"/>
          <w:szCs w:val="24"/>
        </w:rPr>
        <w:t>本课程旨在学生通过对会计事务工作的了解，熟悉各税种的概念、计税依据、征税范围等具体规定，为今后从事涉税工作打下良好的基础。</w:t>
      </w:r>
    </w:p>
    <w:p w14:paraId="549A22B5">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38B7E760">
      <w:pPr>
        <w:pStyle w:val="17"/>
        <w:spacing w:after="0" w:line="400" w:lineRule="exact"/>
        <w:ind w:firstLine="480" w:firstLineChars="200"/>
        <w:rPr>
          <w:sz w:val="24"/>
          <w:szCs w:val="24"/>
        </w:rPr>
      </w:pPr>
      <w:r>
        <w:rPr>
          <w:rFonts w:hint="eastAsia"/>
          <w:sz w:val="24"/>
          <w:szCs w:val="24"/>
        </w:rPr>
        <w:t>1</w:t>
      </w:r>
      <w:r>
        <w:rPr>
          <w:sz w:val="24"/>
          <w:szCs w:val="24"/>
        </w:rPr>
        <w:t>.素质目标</w:t>
      </w:r>
    </w:p>
    <w:p w14:paraId="0B415BA1">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（1）具备从事会计工作的基本道德、职业素质，严格遵守现行税收实务的各项法律法规；</w:t>
      </w:r>
    </w:p>
    <w:p w14:paraId="4D4CB72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（2）具备严格按照税务要求执行税务相关工作的职业能力和素质；</w:t>
      </w:r>
    </w:p>
    <w:p w14:paraId="4BC25C45">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（3）具备与税务机关工作人员进行良好的沟通和合作的能力；</w:t>
      </w:r>
    </w:p>
    <w:p w14:paraId="57769A37">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（4）具备审慎的工作态度和风险意识；</w:t>
      </w:r>
    </w:p>
    <w:p w14:paraId="51EE02B1">
      <w:pPr>
        <w:pStyle w:val="2"/>
        <w:spacing w:line="400" w:lineRule="exact"/>
        <w:ind w:firstLine="480"/>
        <w:rPr>
          <w:sz w:val="24"/>
          <w:szCs w:val="24"/>
        </w:rPr>
      </w:pPr>
      <w:r>
        <w:rPr>
          <w:rFonts w:hint="eastAsia" w:ascii="仿宋_GB2312" w:hAnsi="仿宋_GB2312" w:cs="仿宋_GB2312"/>
          <w:sz w:val="24"/>
          <w:szCs w:val="24"/>
        </w:rPr>
        <w:t>（5）具备不断学习新的税收实务法律法规、自觉关注税务管理新法规的能力。</w:t>
      </w:r>
    </w:p>
    <w:p w14:paraId="5EC76A50">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2D5078A8">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（1）了解增值税的征税范围、纳税人、扣缴义务人、征税对象、税目税率及具体规定；</w:t>
      </w:r>
    </w:p>
    <w:p w14:paraId="0ACA83A2">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（2）了解消费税的征税范围、纳税人、扣缴义务人、征税对象、税目税率及具体规定；</w:t>
      </w:r>
    </w:p>
    <w:p w14:paraId="3C6FE39A">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（3）了解企业所得税的征税范围、纳税人、征税对象、税目税率及具体规定；</w:t>
      </w:r>
    </w:p>
    <w:p w14:paraId="60C852D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（4）了解个人所得税的征税范围、纳税人、征税对象、税目税率及具体规定；</w:t>
      </w:r>
    </w:p>
    <w:p w14:paraId="3F81BFB7">
      <w:pPr>
        <w:pStyle w:val="2"/>
        <w:spacing w:line="400" w:lineRule="exact"/>
        <w:ind w:firstLine="480"/>
      </w:pPr>
      <w:r>
        <w:rPr>
          <w:rFonts w:hint="eastAsia" w:ascii="仿宋_GB2312" w:hAnsi="仿宋_GB2312" w:cs="仿宋_GB2312"/>
          <w:sz w:val="24"/>
          <w:szCs w:val="24"/>
        </w:rPr>
        <w:t>（5）了解其他税种的征税范围、纳税人、征税对象、税目税率及具体规定。</w:t>
      </w:r>
    </w:p>
    <w:p w14:paraId="27894E01">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2579E82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（1）能具备从事税务工作最基本的基础知识；</w:t>
      </w:r>
    </w:p>
    <w:p w14:paraId="23DC54E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（2）能根据不同业务区分不同税种及对应的征税范围；</w:t>
      </w:r>
    </w:p>
    <w:p w14:paraId="7AB6C7D2">
      <w:pPr>
        <w:pStyle w:val="2"/>
        <w:spacing w:line="400" w:lineRule="exact"/>
        <w:ind w:firstLine="480"/>
      </w:pPr>
      <w:r>
        <w:rPr>
          <w:rFonts w:hint="eastAsia" w:ascii="仿宋_GB2312" w:hAnsi="仿宋_GB2312" w:cs="仿宋_GB2312"/>
          <w:sz w:val="24"/>
          <w:szCs w:val="24"/>
        </w:rPr>
        <w:t>（3）能掌握各税种及相关业务的会计核算。</w:t>
      </w:r>
    </w:p>
    <w:p w14:paraId="396EB4F7">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17F187B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112学时。</w:t>
      </w:r>
    </w:p>
    <w:p w14:paraId="671953DA">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698E7B93">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7学分。</w:t>
      </w:r>
    </w:p>
    <w:p w14:paraId="10168C5C">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p w14:paraId="297E3507">
      <w:pPr>
        <w:spacing w:line="400" w:lineRule="exact"/>
        <w:ind w:firstLine="480" w:firstLineChars="200"/>
        <w:rPr>
          <w:rFonts w:ascii="楷体_GB2312" w:hAnsi="Times New Roman" w:eastAsia="楷体_GB2312" w:cs="Times New Roman"/>
          <w:sz w:val="24"/>
          <w:szCs w:val="24"/>
        </w:rPr>
      </w:pPr>
      <w:r>
        <w:rPr>
          <w:rFonts w:hint="eastAsia" w:ascii="仿宋_GB2312" w:hAnsi="Times New Roman" w:eastAsia="仿宋_GB2312" w:cs="Times New Roman"/>
          <w:sz w:val="24"/>
          <w:szCs w:val="24"/>
        </w:rPr>
        <w:t>本课程坚持立德树人的根本要求，结合中职</w:t>
      </w:r>
      <w:r>
        <w:rPr>
          <w:rFonts w:ascii="仿宋_GB2312" w:hAnsi="Times New Roman" w:eastAsia="仿宋_GB2312" w:cs="Times New Roman"/>
          <w:sz w:val="24"/>
          <w:szCs w:val="24"/>
        </w:rPr>
        <w:t>学生学习特点，</w:t>
      </w:r>
      <w:r>
        <w:rPr>
          <w:rFonts w:hint="eastAsia" w:ascii="仿宋_GB2312" w:hAnsi="Times New Roman" w:eastAsia="仿宋_GB2312" w:cs="Times New Roman"/>
          <w:sz w:val="24"/>
          <w:szCs w:val="24"/>
        </w:rPr>
        <w:t>遵循职业教育人才培养</w:t>
      </w:r>
      <w:r>
        <w:rPr>
          <w:rFonts w:ascii="仿宋_GB2312" w:hAnsi="Times New Roman" w:eastAsia="仿宋_GB2312" w:cs="Times New Roman"/>
          <w:sz w:val="24"/>
          <w:szCs w:val="24"/>
        </w:rPr>
        <w:t>规律，</w:t>
      </w:r>
      <w:r>
        <w:rPr>
          <w:rFonts w:hint="eastAsia" w:ascii="仿宋_GB2312" w:hAnsi="Times New Roman" w:eastAsia="仿宋_GB2312" w:cs="Times New Roman"/>
          <w:sz w:val="24"/>
          <w:szCs w:val="24"/>
        </w:rPr>
        <w:t>落实课程思政要求</w:t>
      </w:r>
      <w:r>
        <w:rPr>
          <w:rFonts w:ascii="仿宋_GB2312" w:hAnsi="Times New Roman" w:eastAsia="仿宋_GB2312" w:cs="Times New Roman"/>
          <w:sz w:val="24"/>
          <w:szCs w:val="24"/>
        </w:rPr>
        <w:t>，</w:t>
      </w:r>
      <w:r>
        <w:rPr>
          <w:rFonts w:hint="eastAsia" w:ascii="仿宋_GB2312" w:hAnsi="Times New Roman" w:eastAsia="仿宋_GB2312" w:cs="Times New Roman"/>
          <w:sz w:val="24"/>
          <w:szCs w:val="24"/>
        </w:rPr>
        <w:t>有机融入</w:t>
      </w:r>
      <w:r>
        <w:rPr>
          <w:rFonts w:ascii="仿宋_GB2312" w:hAnsi="Times New Roman" w:eastAsia="仿宋_GB2312" w:cs="Times New Roman"/>
          <w:sz w:val="24"/>
          <w:szCs w:val="24"/>
        </w:rPr>
        <w:t>思</w:t>
      </w:r>
      <w:r>
        <w:rPr>
          <w:rFonts w:hint="eastAsia" w:ascii="仿宋_GB2312" w:hAnsi="Times New Roman" w:eastAsia="仿宋_GB2312" w:cs="Times New Roman"/>
          <w:sz w:val="24"/>
          <w:szCs w:val="24"/>
        </w:rPr>
        <w:t>想政治教育内容，紧密联系工作实际，突出应用性和实践性，注重学生职业能力和可持续发展</w:t>
      </w:r>
      <w:r>
        <w:rPr>
          <w:rFonts w:ascii="仿宋_GB2312" w:hAnsi="Times New Roman" w:eastAsia="仿宋_GB2312" w:cs="Times New Roman"/>
          <w:sz w:val="24"/>
          <w:szCs w:val="24"/>
        </w:rPr>
        <w:t>能力</w:t>
      </w:r>
      <w:r>
        <w:rPr>
          <w:rFonts w:hint="eastAsia" w:ascii="仿宋_GB2312" w:hAnsi="Times New Roman" w:eastAsia="仿宋_GB2312" w:cs="Times New Roman"/>
          <w:sz w:val="24"/>
          <w:szCs w:val="24"/>
        </w:rPr>
        <w:t>的培养,结合中高本衔接培养需要，根据会计事务</w:t>
      </w:r>
      <w:r>
        <w:rPr>
          <w:rFonts w:ascii="仿宋_GB2312" w:hAnsi="Times New Roman" w:eastAsia="仿宋_GB2312" w:cs="Times New Roman"/>
          <w:sz w:val="24"/>
          <w:szCs w:val="24"/>
        </w:rPr>
        <w:t>专业</w:t>
      </w:r>
      <w:r>
        <w:rPr>
          <w:rFonts w:hint="eastAsia" w:ascii="仿宋_GB2312" w:hAnsi="Times New Roman" w:eastAsia="仿宋_GB2312" w:cs="Times New Roman"/>
          <w:sz w:val="24"/>
          <w:szCs w:val="24"/>
        </w:rPr>
        <w:t>我校人才培养方案中本课程的内容与要求，合理</w:t>
      </w:r>
      <w:r>
        <w:rPr>
          <w:rFonts w:ascii="仿宋_GB2312" w:hAnsi="Times New Roman" w:eastAsia="仿宋_GB2312" w:cs="Times New Roman"/>
          <w:sz w:val="24"/>
          <w:szCs w:val="24"/>
        </w:rPr>
        <w:t>设计</w:t>
      </w:r>
      <w:r>
        <w:rPr>
          <w:rFonts w:hint="eastAsia" w:ascii="仿宋_GB2312" w:hAnsi="Times New Roman" w:eastAsia="仿宋_GB2312" w:cs="Times New Roman"/>
          <w:sz w:val="24"/>
          <w:szCs w:val="24"/>
        </w:rPr>
        <w:t>如下教学单元</w:t>
      </w:r>
      <w:r>
        <w:rPr>
          <w:rFonts w:ascii="仿宋_GB2312" w:hAnsi="Times New Roman" w:eastAsia="仿宋_GB2312" w:cs="Times New Roman"/>
          <w:sz w:val="24"/>
          <w:szCs w:val="24"/>
        </w:rPr>
        <w:t>和教学活动。</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536"/>
        <w:gridCol w:w="2433"/>
        <w:gridCol w:w="2682"/>
        <w:gridCol w:w="724"/>
      </w:tblGrid>
      <w:tr w14:paraId="0CC96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1EC3B26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536" w:type="dxa"/>
            <w:shd w:val="clear" w:color="auto" w:fill="BEBEBE" w:themeFill="background1" w:themeFillShade="BF"/>
            <w:vAlign w:val="center"/>
          </w:tcPr>
          <w:p w14:paraId="4B6FEDA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433" w:type="dxa"/>
            <w:shd w:val="clear" w:color="auto" w:fill="BEBEBE" w:themeFill="background1" w:themeFillShade="BF"/>
            <w:vAlign w:val="center"/>
          </w:tcPr>
          <w:p w14:paraId="6FEB12B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2EB0B08A">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7E23D47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5C45166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25706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DDA582A">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536" w:type="dxa"/>
            <w:vAlign w:val="center"/>
          </w:tcPr>
          <w:p w14:paraId="40B354B8">
            <w:pPr>
              <w:adjustRightInd w:val="0"/>
              <w:spacing w:line="360" w:lineRule="exact"/>
              <w:rPr>
                <w:rFonts w:asciiTheme="minorEastAsia" w:hAnsiTheme="minorEastAsia" w:cstheme="minorEastAsia"/>
              </w:rPr>
            </w:pPr>
            <w:r>
              <w:rPr>
                <w:rFonts w:hint="eastAsia" w:asciiTheme="minorEastAsia" w:hAnsiTheme="minorEastAsia" w:cstheme="minorEastAsia"/>
              </w:rPr>
              <w:t>税收基础知识</w:t>
            </w:r>
          </w:p>
        </w:tc>
        <w:tc>
          <w:tcPr>
            <w:tcW w:w="2433" w:type="dxa"/>
            <w:vAlign w:val="center"/>
          </w:tcPr>
          <w:p w14:paraId="18449DE1">
            <w:pPr>
              <w:adjustRightInd w:val="0"/>
            </w:pPr>
            <w:r>
              <w:rPr>
                <w:rFonts w:hint="eastAsia"/>
              </w:rPr>
              <w:t>（1）了解税收的概念、特征及职能；</w:t>
            </w:r>
          </w:p>
          <w:p w14:paraId="129F8035">
            <w:pPr>
              <w:pStyle w:val="2"/>
              <w:rPr>
                <w:rFonts w:ascii="宋体" w:hAnsi="宋体"/>
              </w:rPr>
            </w:pPr>
            <w:r>
              <w:rPr>
                <w:rFonts w:hint="eastAsia" w:ascii="宋体" w:hAnsi="宋体"/>
              </w:rPr>
              <w:t>（2）了解税制与税法的关系；掌握税收制度的构成要素。</w:t>
            </w:r>
          </w:p>
        </w:tc>
        <w:tc>
          <w:tcPr>
            <w:tcW w:w="2682" w:type="dxa"/>
            <w:vAlign w:val="center"/>
          </w:tcPr>
          <w:p w14:paraId="49F63E87">
            <w:pPr>
              <w:adjustRightInd w:val="0"/>
            </w:pPr>
            <w:r>
              <w:rPr>
                <w:rFonts w:hint="eastAsia"/>
              </w:rPr>
              <w:t>（1）多媒体演示，了解增值税概念和征税范围；</w:t>
            </w:r>
          </w:p>
          <w:p w14:paraId="422138B5">
            <w:pPr>
              <w:adjustRightInd w:val="0"/>
            </w:pPr>
            <w:r>
              <w:rPr>
                <w:rFonts w:hint="eastAsia"/>
              </w:rPr>
              <w:t>（2）通过实物或图片和案例展示，更加深刻的了解增值税概念和征税范围；</w:t>
            </w:r>
          </w:p>
          <w:p w14:paraId="23C70A51">
            <w:pPr>
              <w:adjustRightInd w:val="0"/>
            </w:pPr>
            <w:r>
              <w:rPr>
                <w:rFonts w:hint="eastAsia"/>
              </w:rPr>
              <w:t>（3）通过税收“税收取之于民，用之于民”，培养学生关注“整体利益”的意识。</w:t>
            </w:r>
          </w:p>
        </w:tc>
        <w:tc>
          <w:tcPr>
            <w:tcW w:w="724" w:type="dxa"/>
            <w:vAlign w:val="center"/>
          </w:tcPr>
          <w:p w14:paraId="300D19F9">
            <w:pPr>
              <w:adjustRightInd w:val="0"/>
              <w:jc w:val="center"/>
            </w:pPr>
            <w:r>
              <w:rPr>
                <w:rFonts w:hint="eastAsia"/>
              </w:rPr>
              <w:t>12</w:t>
            </w:r>
          </w:p>
        </w:tc>
      </w:tr>
      <w:tr w14:paraId="3482E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0877428">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536" w:type="dxa"/>
            <w:vAlign w:val="center"/>
          </w:tcPr>
          <w:p w14:paraId="704D5350">
            <w:pPr>
              <w:adjustRightInd w:val="0"/>
              <w:spacing w:line="360" w:lineRule="exact"/>
              <w:rPr>
                <w:rFonts w:asciiTheme="minorEastAsia" w:hAnsiTheme="minorEastAsia" w:cstheme="minorEastAsia"/>
              </w:rPr>
            </w:pPr>
            <w:r>
              <w:rPr>
                <w:rFonts w:hint="eastAsia" w:asciiTheme="minorEastAsia" w:hAnsiTheme="minorEastAsia" w:cstheme="minorEastAsia"/>
              </w:rPr>
              <w:t>增值税</w:t>
            </w:r>
          </w:p>
        </w:tc>
        <w:tc>
          <w:tcPr>
            <w:tcW w:w="2433" w:type="dxa"/>
            <w:vAlign w:val="center"/>
          </w:tcPr>
          <w:p w14:paraId="3794874B">
            <w:pPr>
              <w:adjustRightInd w:val="0"/>
            </w:pPr>
            <w:r>
              <w:rPr>
                <w:rFonts w:hint="eastAsia"/>
              </w:rPr>
              <w:t>（1）了解增值税的概念、特点和类型；</w:t>
            </w:r>
          </w:p>
          <w:p w14:paraId="6BA60BDF">
            <w:pPr>
              <w:adjustRightInd w:val="0"/>
            </w:pPr>
            <w:r>
              <w:rPr>
                <w:rFonts w:hint="eastAsia"/>
              </w:rPr>
              <w:t>（2）掌握增值税的纳税人、征税范围和税率；</w:t>
            </w:r>
          </w:p>
          <w:p w14:paraId="7750DCA3">
            <w:pPr>
              <w:adjustRightInd w:val="0"/>
            </w:pPr>
            <w:r>
              <w:rPr>
                <w:rFonts w:hint="eastAsia"/>
              </w:rPr>
              <w:t>（3）理解增值税的起征点和减免税。</w:t>
            </w:r>
          </w:p>
        </w:tc>
        <w:tc>
          <w:tcPr>
            <w:tcW w:w="2682" w:type="dxa"/>
            <w:vAlign w:val="center"/>
          </w:tcPr>
          <w:p w14:paraId="4DC8C281">
            <w:pPr>
              <w:adjustRightInd w:val="0"/>
            </w:pPr>
            <w:r>
              <w:rPr>
                <w:rFonts w:hint="eastAsia"/>
              </w:rPr>
              <w:t>（1）了解增值税的概念、特点和类型；</w:t>
            </w:r>
          </w:p>
          <w:p w14:paraId="0042C962">
            <w:pPr>
              <w:adjustRightInd w:val="0"/>
            </w:pPr>
            <w:r>
              <w:rPr>
                <w:rFonts w:hint="eastAsia"/>
              </w:rPr>
              <w:t>（2）理解增值税的起征点和减免税；</w:t>
            </w:r>
          </w:p>
          <w:p w14:paraId="52CFE312">
            <w:pPr>
              <w:adjustRightInd w:val="0"/>
            </w:pPr>
            <w:r>
              <w:rPr>
                <w:rFonts w:hint="eastAsia"/>
              </w:rPr>
              <w:t>（3）增强学生社会主义核心价值观，树立诚信意识，依法纳税、依法治国。</w:t>
            </w:r>
          </w:p>
        </w:tc>
        <w:tc>
          <w:tcPr>
            <w:tcW w:w="724" w:type="dxa"/>
            <w:vAlign w:val="center"/>
          </w:tcPr>
          <w:p w14:paraId="7E9594B1">
            <w:pPr>
              <w:adjustRightInd w:val="0"/>
              <w:jc w:val="center"/>
            </w:pPr>
            <w:r>
              <w:rPr>
                <w:rFonts w:hint="eastAsia"/>
              </w:rPr>
              <w:t>24</w:t>
            </w:r>
          </w:p>
        </w:tc>
      </w:tr>
      <w:tr w14:paraId="3ACC6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B590FB2">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536" w:type="dxa"/>
            <w:vAlign w:val="center"/>
          </w:tcPr>
          <w:p w14:paraId="5A169E0E">
            <w:pPr>
              <w:adjustRightInd w:val="0"/>
              <w:spacing w:line="360" w:lineRule="exact"/>
              <w:rPr>
                <w:rFonts w:asciiTheme="minorEastAsia" w:hAnsiTheme="minorEastAsia" w:cstheme="minorEastAsia"/>
              </w:rPr>
            </w:pPr>
            <w:r>
              <w:rPr>
                <w:rFonts w:hint="eastAsia" w:asciiTheme="minorEastAsia" w:hAnsiTheme="minorEastAsia" w:cstheme="minorEastAsia"/>
              </w:rPr>
              <w:t>消费税</w:t>
            </w:r>
          </w:p>
        </w:tc>
        <w:tc>
          <w:tcPr>
            <w:tcW w:w="2433" w:type="dxa"/>
            <w:vAlign w:val="center"/>
          </w:tcPr>
          <w:p w14:paraId="2069D78F">
            <w:pPr>
              <w:adjustRightInd w:val="0"/>
            </w:pPr>
            <w:r>
              <w:rPr>
                <w:rFonts w:hint="eastAsia"/>
              </w:rPr>
              <w:t>（1）了解消费税的概念、特征和计税依据；</w:t>
            </w:r>
          </w:p>
          <w:p w14:paraId="7475ACB6">
            <w:pPr>
              <w:adjustRightInd w:val="0"/>
            </w:pPr>
            <w:r>
              <w:rPr>
                <w:rFonts w:hint="eastAsia"/>
              </w:rPr>
              <w:t>（2）掌握消费税的纳税人、征税范围、税目和税率。</w:t>
            </w:r>
          </w:p>
        </w:tc>
        <w:tc>
          <w:tcPr>
            <w:tcW w:w="2682" w:type="dxa"/>
            <w:vAlign w:val="center"/>
          </w:tcPr>
          <w:p w14:paraId="05AD3BDB">
            <w:pPr>
              <w:adjustRightInd w:val="0"/>
            </w:pPr>
            <w:r>
              <w:rPr>
                <w:rFonts w:hint="eastAsia"/>
              </w:rPr>
              <w:t>（1）了解消费税的概念、特征和计税依据；</w:t>
            </w:r>
          </w:p>
          <w:p w14:paraId="4E9498F4">
            <w:pPr>
              <w:adjustRightInd w:val="0"/>
            </w:pPr>
            <w:r>
              <w:rPr>
                <w:rFonts w:hint="eastAsia"/>
              </w:rPr>
              <w:t>（2）关心时政、心系民生、爱国情怀、职业素养；</w:t>
            </w:r>
          </w:p>
          <w:p w14:paraId="2BB4BA1F">
            <w:pPr>
              <w:adjustRightInd w:val="0"/>
            </w:pPr>
            <w:r>
              <w:rPr>
                <w:rFonts w:hint="eastAsia"/>
              </w:rPr>
              <w:t>（3）通过限制高消费，向学生传递朴素的公平正义的重要性，培养学生的公平正义感。</w:t>
            </w:r>
          </w:p>
        </w:tc>
        <w:tc>
          <w:tcPr>
            <w:tcW w:w="724" w:type="dxa"/>
            <w:vAlign w:val="center"/>
          </w:tcPr>
          <w:p w14:paraId="0941B618">
            <w:pPr>
              <w:adjustRightInd w:val="0"/>
              <w:jc w:val="center"/>
            </w:pPr>
            <w:r>
              <w:rPr>
                <w:rFonts w:hint="eastAsia"/>
              </w:rPr>
              <w:t>6</w:t>
            </w:r>
          </w:p>
        </w:tc>
      </w:tr>
      <w:tr w14:paraId="29137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425F0D8">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536" w:type="dxa"/>
            <w:vAlign w:val="center"/>
          </w:tcPr>
          <w:p w14:paraId="4B4913E5">
            <w:pPr>
              <w:adjustRightInd w:val="0"/>
              <w:spacing w:line="360" w:lineRule="exact"/>
              <w:rPr>
                <w:rFonts w:asciiTheme="minorEastAsia" w:hAnsiTheme="minorEastAsia" w:cstheme="minorEastAsia"/>
              </w:rPr>
            </w:pPr>
            <w:r>
              <w:rPr>
                <w:rFonts w:hint="eastAsia" w:asciiTheme="minorEastAsia" w:hAnsiTheme="minorEastAsia" w:cstheme="minorEastAsia"/>
              </w:rPr>
              <w:t>企业所得税</w:t>
            </w:r>
          </w:p>
        </w:tc>
        <w:tc>
          <w:tcPr>
            <w:tcW w:w="2433" w:type="dxa"/>
            <w:vAlign w:val="center"/>
          </w:tcPr>
          <w:p w14:paraId="3658C14F">
            <w:pPr>
              <w:adjustRightInd w:val="0"/>
            </w:pPr>
            <w:r>
              <w:rPr>
                <w:rFonts w:hint="eastAsia"/>
              </w:rPr>
              <w:t>（1）了解企业所得税的概念、特征和计税依据；</w:t>
            </w:r>
          </w:p>
          <w:p w14:paraId="3A18719E">
            <w:pPr>
              <w:adjustRightInd w:val="0"/>
            </w:pPr>
            <w:r>
              <w:rPr>
                <w:rFonts w:hint="eastAsia"/>
              </w:rPr>
              <w:t>（2）掌握企业所得税的纳税人、征税范围、税目和税率。</w:t>
            </w:r>
          </w:p>
        </w:tc>
        <w:tc>
          <w:tcPr>
            <w:tcW w:w="2682" w:type="dxa"/>
            <w:vAlign w:val="center"/>
          </w:tcPr>
          <w:p w14:paraId="648F0BFC">
            <w:pPr>
              <w:adjustRightInd w:val="0"/>
            </w:pPr>
            <w:r>
              <w:rPr>
                <w:rFonts w:hint="eastAsia"/>
              </w:rPr>
              <w:t>（1）了解企业所得税的概念和特点；</w:t>
            </w:r>
          </w:p>
          <w:p w14:paraId="6BABDC7B">
            <w:pPr>
              <w:adjustRightInd w:val="0"/>
            </w:pPr>
            <w:r>
              <w:rPr>
                <w:rFonts w:hint="eastAsia"/>
              </w:rPr>
              <w:t>（2）增强学生勤俭节约的意识。</w:t>
            </w:r>
          </w:p>
        </w:tc>
        <w:tc>
          <w:tcPr>
            <w:tcW w:w="724" w:type="dxa"/>
            <w:vAlign w:val="center"/>
          </w:tcPr>
          <w:p w14:paraId="097D7CA2">
            <w:pPr>
              <w:adjustRightInd w:val="0"/>
              <w:jc w:val="center"/>
            </w:pPr>
            <w:r>
              <w:rPr>
                <w:rFonts w:hint="eastAsia"/>
              </w:rPr>
              <w:t>24</w:t>
            </w:r>
          </w:p>
        </w:tc>
      </w:tr>
      <w:tr w14:paraId="7A5A9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702C0D2">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536" w:type="dxa"/>
            <w:vAlign w:val="center"/>
          </w:tcPr>
          <w:p w14:paraId="660FE717">
            <w:pPr>
              <w:adjustRightInd w:val="0"/>
              <w:spacing w:line="360" w:lineRule="exact"/>
              <w:rPr>
                <w:rFonts w:asciiTheme="minorEastAsia" w:hAnsiTheme="minorEastAsia" w:cstheme="minorEastAsia"/>
              </w:rPr>
            </w:pPr>
            <w:r>
              <w:rPr>
                <w:rFonts w:hint="eastAsia" w:asciiTheme="minorEastAsia" w:hAnsiTheme="minorEastAsia" w:cstheme="minorEastAsia"/>
              </w:rPr>
              <w:t>个人所得税</w:t>
            </w:r>
          </w:p>
        </w:tc>
        <w:tc>
          <w:tcPr>
            <w:tcW w:w="2433" w:type="dxa"/>
            <w:vAlign w:val="center"/>
          </w:tcPr>
          <w:p w14:paraId="5FCEB12D">
            <w:pPr>
              <w:adjustRightInd w:val="0"/>
            </w:pPr>
            <w:r>
              <w:rPr>
                <w:rFonts w:hint="eastAsia"/>
              </w:rPr>
              <w:t>（1）了解个人所得税的概念、特征和计税依据；</w:t>
            </w:r>
          </w:p>
          <w:p w14:paraId="4AF04E39">
            <w:pPr>
              <w:adjustRightInd w:val="0"/>
            </w:pPr>
            <w:r>
              <w:rPr>
                <w:rFonts w:hint="eastAsia"/>
              </w:rPr>
              <w:t>（2）掌握个人所得税的纳税人、征税范围、税目和税率。</w:t>
            </w:r>
          </w:p>
        </w:tc>
        <w:tc>
          <w:tcPr>
            <w:tcW w:w="2682" w:type="dxa"/>
            <w:vAlign w:val="center"/>
          </w:tcPr>
          <w:p w14:paraId="52F7038B">
            <w:pPr>
              <w:adjustRightInd w:val="0"/>
            </w:pPr>
            <w:r>
              <w:rPr>
                <w:rFonts w:hint="eastAsia"/>
              </w:rPr>
              <w:t>（1）了解个人所得税的概念和计税依据；</w:t>
            </w:r>
          </w:p>
          <w:p w14:paraId="0C49A8DA">
            <w:pPr>
              <w:adjustRightInd w:val="0"/>
            </w:pPr>
            <w:r>
              <w:rPr>
                <w:rFonts w:hint="eastAsia"/>
              </w:rPr>
              <w:t>（2）引导学生树立创新学习的理念，培养学生的社会责任感。</w:t>
            </w:r>
          </w:p>
        </w:tc>
        <w:tc>
          <w:tcPr>
            <w:tcW w:w="724" w:type="dxa"/>
            <w:vAlign w:val="center"/>
          </w:tcPr>
          <w:p w14:paraId="450A73F0">
            <w:pPr>
              <w:adjustRightInd w:val="0"/>
              <w:jc w:val="center"/>
            </w:pPr>
            <w:r>
              <w:rPr>
                <w:rFonts w:hint="eastAsia"/>
              </w:rPr>
              <w:t>18</w:t>
            </w:r>
          </w:p>
        </w:tc>
      </w:tr>
      <w:tr w14:paraId="13DF2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A82C85A">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c>
          <w:tcPr>
            <w:tcW w:w="1536" w:type="dxa"/>
            <w:vAlign w:val="center"/>
          </w:tcPr>
          <w:p w14:paraId="1B1349F6">
            <w:pPr>
              <w:adjustRightInd w:val="0"/>
              <w:spacing w:line="360" w:lineRule="exact"/>
              <w:rPr>
                <w:rFonts w:asciiTheme="minorEastAsia" w:hAnsiTheme="minorEastAsia" w:cstheme="minorEastAsia"/>
              </w:rPr>
            </w:pPr>
            <w:r>
              <w:rPr>
                <w:rFonts w:hint="eastAsia" w:asciiTheme="minorEastAsia" w:hAnsiTheme="minorEastAsia" w:cstheme="minorEastAsia"/>
              </w:rPr>
              <w:t>其他税种</w:t>
            </w:r>
          </w:p>
        </w:tc>
        <w:tc>
          <w:tcPr>
            <w:tcW w:w="2433" w:type="dxa"/>
            <w:vAlign w:val="center"/>
          </w:tcPr>
          <w:p w14:paraId="36680C92">
            <w:pPr>
              <w:adjustRightInd w:val="0"/>
            </w:pPr>
            <w:r>
              <w:rPr>
                <w:rFonts w:hint="eastAsia"/>
              </w:rPr>
              <w:t>（1）理解印花税、契税、城市维护建设税、教育费附加、城镇土地使用税、印花税、资源税、房产税、车船税、车辆购置税、环境保护税的概念；</w:t>
            </w:r>
          </w:p>
          <w:p w14:paraId="1883CC20">
            <w:pPr>
              <w:adjustRightInd w:val="0"/>
            </w:pPr>
            <w:r>
              <w:rPr>
                <w:rFonts w:hint="eastAsia"/>
              </w:rPr>
              <w:t>（2）掌握各税种的纳税人、征税范围和税率；</w:t>
            </w:r>
          </w:p>
          <w:p w14:paraId="1DC1C6A5">
            <w:pPr>
              <w:pStyle w:val="40"/>
              <w:ind w:firstLine="0" w:firstLineChars="0"/>
            </w:pPr>
            <w:r>
              <w:rPr>
                <w:rFonts w:hint="eastAsia" w:ascii="宋体" w:hAnsi="宋体" w:eastAsia="宋体" w:cs="宋体"/>
              </w:rPr>
              <w:t>（3）正确计算各税种的应纳税额。</w:t>
            </w:r>
          </w:p>
        </w:tc>
        <w:tc>
          <w:tcPr>
            <w:tcW w:w="2682" w:type="dxa"/>
            <w:vAlign w:val="center"/>
          </w:tcPr>
          <w:p w14:paraId="43F5F134">
            <w:pPr>
              <w:adjustRightInd w:val="0"/>
            </w:pPr>
            <w:r>
              <w:rPr>
                <w:rFonts w:hint="eastAsia"/>
              </w:rPr>
              <w:t>（1）多媒体演示，了解各个税种的概念和征税范围；</w:t>
            </w:r>
          </w:p>
          <w:p w14:paraId="635CC298">
            <w:pPr>
              <w:adjustRightInd w:val="0"/>
            </w:pPr>
            <w:r>
              <w:rPr>
                <w:rFonts w:hint="eastAsia"/>
              </w:rPr>
              <w:t>（2）提供经济业务资料，了解和学习相关知识点；</w:t>
            </w:r>
          </w:p>
          <w:p w14:paraId="656A506B">
            <w:pPr>
              <w:adjustRightInd w:val="0"/>
            </w:pPr>
            <w:r>
              <w:rPr>
                <w:rFonts w:hint="eastAsia"/>
              </w:rPr>
              <w:t>（3）通过资源税的学习，向学生传递“生态文明建设是民族永续发展的根本大计”，培养学生的环保意识。</w:t>
            </w:r>
          </w:p>
        </w:tc>
        <w:tc>
          <w:tcPr>
            <w:tcW w:w="724" w:type="dxa"/>
            <w:vAlign w:val="center"/>
          </w:tcPr>
          <w:p w14:paraId="240794B0">
            <w:pPr>
              <w:adjustRightInd w:val="0"/>
              <w:jc w:val="center"/>
              <w:rPr>
                <w:rFonts w:ascii="仿宋_GB2312"/>
              </w:rPr>
            </w:pPr>
            <w:r>
              <w:rPr>
                <w:rFonts w:hint="eastAsia"/>
              </w:rPr>
              <w:t>18</w:t>
            </w:r>
          </w:p>
        </w:tc>
      </w:tr>
      <w:tr w14:paraId="5B59E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4828FAD">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7</w:t>
            </w:r>
          </w:p>
        </w:tc>
        <w:tc>
          <w:tcPr>
            <w:tcW w:w="1536" w:type="dxa"/>
            <w:vAlign w:val="center"/>
          </w:tcPr>
          <w:p w14:paraId="7DA26886">
            <w:pPr>
              <w:adjustRightInd w:val="0"/>
              <w:spacing w:line="360" w:lineRule="exact"/>
              <w:rPr>
                <w:rFonts w:asciiTheme="minorEastAsia" w:hAnsiTheme="minorEastAsia" w:cstheme="minorEastAsia"/>
              </w:rPr>
            </w:pPr>
            <w:r>
              <w:rPr>
                <w:rFonts w:hint="eastAsia" w:asciiTheme="minorEastAsia" w:hAnsiTheme="minorEastAsia" w:cstheme="minorEastAsia"/>
              </w:rPr>
              <w:t>税收征纳管理</w:t>
            </w:r>
          </w:p>
        </w:tc>
        <w:tc>
          <w:tcPr>
            <w:tcW w:w="2433" w:type="dxa"/>
            <w:vAlign w:val="center"/>
          </w:tcPr>
          <w:p w14:paraId="708DEE18">
            <w:pPr>
              <w:adjustRightInd w:val="0"/>
            </w:pPr>
            <w:r>
              <w:rPr>
                <w:rFonts w:hint="eastAsia"/>
              </w:rPr>
              <w:t>（1）理解税收法律责任和法律救济的主要内容；</w:t>
            </w:r>
          </w:p>
          <w:p w14:paraId="5F6DD7D8">
            <w:pPr>
              <w:pStyle w:val="2"/>
              <w:rPr>
                <w:rFonts w:ascii="宋体" w:hAnsi="宋体"/>
              </w:rPr>
            </w:pPr>
            <w:r>
              <w:rPr>
                <w:rFonts w:hint="eastAsia" w:ascii="宋体" w:hAnsi="宋体"/>
              </w:rPr>
              <w:t>（2）掌握纳税人的权利和义务。</w:t>
            </w:r>
          </w:p>
        </w:tc>
        <w:tc>
          <w:tcPr>
            <w:tcW w:w="2682" w:type="dxa"/>
            <w:vAlign w:val="center"/>
          </w:tcPr>
          <w:p w14:paraId="7E9C915B">
            <w:pPr>
              <w:adjustRightInd w:val="0"/>
            </w:pPr>
            <w:r>
              <w:rPr>
                <w:rFonts w:hint="eastAsia"/>
              </w:rPr>
              <w:t>（1）多媒体演示，了解税收法律制度；</w:t>
            </w:r>
          </w:p>
          <w:p w14:paraId="4A3743DE">
            <w:pPr>
              <w:adjustRightInd w:val="0"/>
            </w:pPr>
            <w:r>
              <w:rPr>
                <w:rFonts w:hint="eastAsia"/>
              </w:rPr>
              <w:t>（2）通过实物或图片和案例展示，更加深刻的了解税收征收管理；</w:t>
            </w:r>
          </w:p>
          <w:p w14:paraId="4D0FD74A">
            <w:pPr>
              <w:adjustRightInd w:val="0"/>
            </w:pPr>
            <w:r>
              <w:rPr>
                <w:rFonts w:hint="eastAsia"/>
              </w:rPr>
              <w:t>（3）通过征收管理条例的阐释，培养学生的合规意识。</w:t>
            </w:r>
          </w:p>
        </w:tc>
        <w:tc>
          <w:tcPr>
            <w:tcW w:w="724" w:type="dxa"/>
            <w:vAlign w:val="center"/>
          </w:tcPr>
          <w:p w14:paraId="302081EB">
            <w:pPr>
              <w:adjustRightInd w:val="0"/>
              <w:jc w:val="center"/>
              <w:rPr>
                <w:rFonts w:ascii="仿宋_GB2312"/>
              </w:rPr>
            </w:pPr>
            <w:r>
              <w:rPr>
                <w:rFonts w:hint="eastAsia"/>
              </w:rPr>
              <w:t>6</w:t>
            </w:r>
          </w:p>
        </w:tc>
      </w:tr>
    </w:tbl>
    <w:p w14:paraId="672D24D3">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18F0DE0A">
      <w:pPr>
        <w:pStyle w:val="17"/>
        <w:spacing w:after="0" w:line="400" w:lineRule="exact"/>
        <w:ind w:firstLine="480" w:firstLineChars="200"/>
        <w:rPr>
          <w:sz w:val="24"/>
          <w:szCs w:val="24"/>
        </w:rPr>
      </w:pPr>
      <w:r>
        <w:rPr>
          <w:rFonts w:hint="eastAsia"/>
          <w:sz w:val="24"/>
          <w:szCs w:val="24"/>
        </w:rPr>
        <w:t>1.教学方法</w:t>
      </w:r>
    </w:p>
    <w:p w14:paraId="1918D064">
      <w:pPr>
        <w:pStyle w:val="17"/>
        <w:spacing w:after="0" w:line="400" w:lineRule="exact"/>
        <w:ind w:firstLine="480" w:firstLineChars="200"/>
        <w:rPr>
          <w:bCs/>
          <w:sz w:val="24"/>
          <w:szCs w:val="24"/>
        </w:rPr>
      </w:pPr>
      <w:r>
        <w:rPr>
          <w:rFonts w:hint="eastAsia"/>
          <w:bCs/>
          <w:sz w:val="24"/>
          <w:szCs w:val="24"/>
        </w:rPr>
        <w:t>本课程</w:t>
      </w:r>
      <w:r>
        <w:rPr>
          <w:rFonts w:hint="eastAsia" w:ascii="仿宋_GB2312"/>
          <w:sz w:val="24"/>
          <w:szCs w:val="24"/>
        </w:rPr>
        <w:t>将思政融入教学，</w:t>
      </w:r>
      <w:r>
        <w:rPr>
          <w:rFonts w:hint="eastAsia"/>
          <w:bCs/>
          <w:sz w:val="24"/>
          <w:szCs w:val="24"/>
        </w:rPr>
        <w:t>通过对应具体学习性工作任务，灵活运用任务驱动法、理论教学法、案例分析法等教学方法，引导学生积极思考、乐于实践，增强教学效果。</w:t>
      </w:r>
    </w:p>
    <w:p w14:paraId="26327BB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（1）理论教学法: 以教师讲授为主的课堂教学方法，在课堂教学中引入案例教学、案例讨论等教学方法，启发学生思考，培养学生发现问题、分析问题的能力。</w:t>
      </w:r>
    </w:p>
    <w:p w14:paraId="6768925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（2）故事教学法：即在教学过程中，通过故事教学来完成税务教学和教学目标的一种教学方法。它是一种具体的教学方法，具有一定的现实可行性。</w:t>
      </w:r>
    </w:p>
    <w:p w14:paraId="10B3920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（3）游戏教学法：即以游戏的形式教学，也就是说使学生在生动活泼的气氛中，在欢乐愉快的活动中，在激烈的竞赛任务中，学到了教材中的内容，或者学到了学生们必须掌握的课外知识。</w:t>
      </w:r>
    </w:p>
    <w:p w14:paraId="2FA2BB7E">
      <w:pPr>
        <w:pStyle w:val="17"/>
        <w:spacing w:after="0" w:line="400" w:lineRule="exact"/>
        <w:ind w:firstLine="480" w:firstLineChars="200"/>
        <w:rPr>
          <w:rFonts w:ascii="仿宋_GB2312"/>
          <w:sz w:val="24"/>
          <w:szCs w:val="24"/>
        </w:rPr>
      </w:pPr>
      <w:r>
        <w:rPr>
          <w:rFonts w:hint="eastAsia" w:ascii="仿宋_GB2312"/>
          <w:sz w:val="24"/>
          <w:szCs w:val="24"/>
        </w:rPr>
        <w:t>（4）情景模拟法：即教师通过精心设置特定的情景，以达到特定的教学目的的一种教学方式。</w:t>
      </w:r>
    </w:p>
    <w:p w14:paraId="611912FB">
      <w:pPr>
        <w:pStyle w:val="17"/>
        <w:spacing w:after="0" w:line="400" w:lineRule="exact"/>
        <w:ind w:firstLine="480" w:firstLineChars="200"/>
        <w:rPr>
          <w:sz w:val="24"/>
          <w:szCs w:val="24"/>
        </w:rPr>
      </w:pPr>
      <w:r>
        <w:rPr>
          <w:rFonts w:hint="eastAsia"/>
          <w:sz w:val="24"/>
          <w:szCs w:val="24"/>
        </w:rPr>
        <w:t>2.评价方法</w:t>
      </w:r>
    </w:p>
    <w:p w14:paraId="21C28CCA">
      <w:pPr>
        <w:widowControl/>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14E00437">
      <w:pPr>
        <w:widowControl/>
        <w:spacing w:line="400" w:lineRule="exact"/>
        <w:ind w:firstLine="480" w:firstLineChars="200"/>
        <w:rPr>
          <w:bCs/>
          <w:sz w:val="24"/>
          <w:szCs w:val="24"/>
          <w:highlight w:val="yellow"/>
        </w:rPr>
      </w:pPr>
      <w:r>
        <w:rPr>
          <w:rFonts w:hint="eastAsia" w:ascii="仿宋_GB2312" w:hAnsi="Times New Roman" w:eastAsia="仿宋_GB2312" w:cs="Times New Roman"/>
          <w:sz w:val="24"/>
          <w:szCs w:val="24"/>
        </w:rPr>
        <w:t>课程成绩形成方式建议: 总评成绩= 平时成绩*30%+期中成绩*30%+期末成*40%。</w:t>
      </w:r>
    </w:p>
    <w:p w14:paraId="20F51EB3">
      <w:pPr>
        <w:pStyle w:val="17"/>
        <w:spacing w:after="0" w:line="400" w:lineRule="exact"/>
        <w:ind w:firstLine="480" w:firstLineChars="200"/>
        <w:rPr>
          <w:sz w:val="24"/>
          <w:szCs w:val="24"/>
        </w:rPr>
      </w:pPr>
      <w:r>
        <w:rPr>
          <w:rFonts w:hint="eastAsia"/>
          <w:sz w:val="24"/>
          <w:szCs w:val="24"/>
        </w:rPr>
        <w:t>3.教学条件</w:t>
      </w:r>
    </w:p>
    <w:p w14:paraId="5973AE50">
      <w:pPr>
        <w:widowControl/>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本课程也需要满足必要的教学条件。</w:t>
      </w:r>
    </w:p>
    <w:p w14:paraId="01118455">
      <w:pPr>
        <w:widowControl/>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（1）校内有一支结构合理、素质优良、具有良好职业修养的“双师素质”教师队伍</w:t>
      </w:r>
    </w:p>
    <w:p w14:paraId="1BEF7BAD">
      <w:pPr>
        <w:widowControl/>
        <w:spacing w:line="400" w:lineRule="exact"/>
        <w:ind w:firstLine="480" w:firstLineChars="200"/>
        <w:rPr>
          <w:bCs/>
          <w:sz w:val="24"/>
          <w:szCs w:val="24"/>
          <w:highlight w:val="yellow"/>
        </w:rPr>
      </w:pPr>
      <w:r>
        <w:rPr>
          <w:rFonts w:hint="eastAsia" w:ascii="仿宋_GB2312" w:hAnsi="Times New Roman" w:eastAsia="仿宋_GB2312" w:cs="Times New Roman"/>
          <w:sz w:val="24"/>
          <w:szCs w:val="24"/>
        </w:rPr>
        <w:t>（2）校外有一批既具有丰富的财税实际工作经验，又具有一定理论基础的财税专家参与学习领域课程标准的制定。</w:t>
      </w:r>
    </w:p>
    <w:p w14:paraId="1C3BF0B2">
      <w:pPr>
        <w:pStyle w:val="17"/>
        <w:spacing w:after="0" w:line="400" w:lineRule="exact"/>
        <w:ind w:firstLine="480" w:firstLineChars="200"/>
        <w:rPr>
          <w:bCs/>
          <w:sz w:val="24"/>
          <w:szCs w:val="24"/>
        </w:rPr>
      </w:pPr>
      <w:r>
        <w:rPr>
          <w:rFonts w:hint="eastAsia"/>
          <w:bCs/>
          <w:sz w:val="24"/>
          <w:szCs w:val="24"/>
        </w:rPr>
        <w:t>4.教材编选</w:t>
      </w:r>
    </w:p>
    <w:p w14:paraId="365A656D">
      <w:pPr>
        <w:pStyle w:val="17"/>
        <w:spacing w:after="0" w:line="400" w:lineRule="exact"/>
        <w:ind w:firstLine="480" w:firstLineChars="200"/>
        <w:rPr>
          <w:bCs/>
          <w:sz w:val="24"/>
          <w:szCs w:val="24"/>
        </w:rPr>
      </w:pPr>
      <w:r>
        <w:rPr>
          <w:rFonts w:hint="eastAsia"/>
          <w:bCs/>
          <w:sz w:val="24"/>
          <w:szCs w:val="24"/>
        </w:rPr>
        <w:t>教材要从国家和省发布的省级以上规划教材目录中选用，倡导选用活页式、工作手册式新形态教材。国家和省级规划目录中没有的教材，可在国家和省职业院校教材信息库选用。</w:t>
      </w:r>
    </w:p>
    <w:p w14:paraId="4B78988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依据本课程标准编写教材，安排合理的必修和选修内容，教材内容体现以就业为导向，以学生为本的原则，将知识与生活生产实际应用相结合。</w:t>
      </w:r>
    </w:p>
    <w:p w14:paraId="39CB9FB7">
      <w:pPr>
        <w:spacing w:line="400" w:lineRule="exact"/>
        <w:ind w:firstLine="480" w:firstLineChars="200"/>
        <w:rPr>
          <w:bCs/>
          <w:sz w:val="24"/>
          <w:szCs w:val="24"/>
        </w:rPr>
      </w:pPr>
      <w:r>
        <w:rPr>
          <w:rFonts w:hint="eastAsia" w:ascii="仿宋_GB2312" w:hAnsi="Times New Roman" w:eastAsia="仿宋_GB2312" w:cs="Times New Roman"/>
          <w:sz w:val="24"/>
          <w:szCs w:val="24"/>
        </w:rPr>
        <w:t>教材的教学内容能够很好地反映涉税业务办理的新颖性、科学性和实用性。注重教学改革成果。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6D451EE9">
      <w:pPr>
        <w:pStyle w:val="17"/>
        <w:spacing w:line="360" w:lineRule="auto"/>
        <w:jc w:val="center"/>
        <w:rPr>
          <w:rFonts w:ascii="黑体" w:hAnsi="黑体" w:eastAsia="黑体"/>
          <w:sz w:val="28"/>
          <w:szCs w:val="28"/>
        </w:rPr>
      </w:pPr>
    </w:p>
    <w:p w14:paraId="4C9E2FAE">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2B7C6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00A7F7D9">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08E3B194">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3905C63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1561DAA8">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2AA8C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52CAE29">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04CE258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税收基础知识-税收与税收法律关系、税收职能与作用</w:t>
            </w:r>
          </w:p>
        </w:tc>
        <w:tc>
          <w:tcPr>
            <w:tcW w:w="1980" w:type="dxa"/>
            <w:tcMar>
              <w:top w:w="0" w:type="dxa"/>
              <w:left w:w="108" w:type="dxa"/>
              <w:bottom w:w="0" w:type="dxa"/>
              <w:right w:w="108" w:type="dxa"/>
            </w:tcMar>
            <w:vAlign w:val="center"/>
          </w:tcPr>
          <w:p w14:paraId="691DA39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003FE3E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07557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3ED4553A">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4FE9F04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税收基础知识-税收制度与构成要素、税收分类与税法体系</w:t>
            </w:r>
          </w:p>
        </w:tc>
        <w:tc>
          <w:tcPr>
            <w:tcW w:w="1980" w:type="dxa"/>
            <w:tcMar>
              <w:top w:w="0" w:type="dxa"/>
              <w:left w:w="108" w:type="dxa"/>
              <w:bottom w:w="0" w:type="dxa"/>
              <w:right w:w="108" w:type="dxa"/>
            </w:tcMar>
            <w:vAlign w:val="center"/>
          </w:tcPr>
          <w:p w14:paraId="5C1532A2">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253C5C7">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769A8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24A9D05">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556682F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增值税-基本内容</w:t>
            </w:r>
          </w:p>
        </w:tc>
        <w:tc>
          <w:tcPr>
            <w:tcW w:w="1980" w:type="dxa"/>
            <w:tcMar>
              <w:top w:w="0" w:type="dxa"/>
              <w:left w:w="108" w:type="dxa"/>
              <w:bottom w:w="0" w:type="dxa"/>
              <w:right w:w="108" w:type="dxa"/>
            </w:tcMar>
            <w:vAlign w:val="center"/>
          </w:tcPr>
          <w:p w14:paraId="67A7007B">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20C2C292">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27E1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E863BF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38EDFC55">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增值税-计算</w:t>
            </w:r>
          </w:p>
        </w:tc>
        <w:tc>
          <w:tcPr>
            <w:tcW w:w="1980" w:type="dxa"/>
            <w:tcMar>
              <w:top w:w="0" w:type="dxa"/>
              <w:left w:w="108" w:type="dxa"/>
              <w:bottom w:w="0" w:type="dxa"/>
              <w:right w:w="108" w:type="dxa"/>
            </w:tcMar>
            <w:vAlign w:val="center"/>
          </w:tcPr>
          <w:p w14:paraId="59DD5CB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6FB61CF">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4B744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12B7A3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56A9E3BF">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增值税-纳税申报</w:t>
            </w:r>
          </w:p>
        </w:tc>
        <w:tc>
          <w:tcPr>
            <w:tcW w:w="1980" w:type="dxa"/>
            <w:tcMar>
              <w:top w:w="0" w:type="dxa"/>
              <w:left w:w="108" w:type="dxa"/>
              <w:bottom w:w="0" w:type="dxa"/>
              <w:right w:w="108" w:type="dxa"/>
            </w:tcMar>
            <w:vAlign w:val="center"/>
          </w:tcPr>
          <w:p w14:paraId="6BEAF01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77421BC7">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6C392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7A1799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53BAA1F1">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增值税-发票使用与管理</w:t>
            </w:r>
          </w:p>
        </w:tc>
        <w:tc>
          <w:tcPr>
            <w:tcW w:w="1980" w:type="dxa"/>
            <w:tcMar>
              <w:top w:w="0" w:type="dxa"/>
              <w:left w:w="108" w:type="dxa"/>
              <w:bottom w:w="0" w:type="dxa"/>
              <w:right w:w="108" w:type="dxa"/>
            </w:tcMar>
            <w:vAlign w:val="center"/>
          </w:tcPr>
          <w:p w14:paraId="5A41B5C3">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5E36AAF">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4DE08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CE8F95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3617710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消费税-基本内容与计算、纳税申报</w:t>
            </w:r>
          </w:p>
        </w:tc>
        <w:tc>
          <w:tcPr>
            <w:tcW w:w="1980" w:type="dxa"/>
            <w:tcMar>
              <w:top w:w="0" w:type="dxa"/>
              <w:left w:w="108" w:type="dxa"/>
              <w:bottom w:w="0" w:type="dxa"/>
              <w:right w:w="108" w:type="dxa"/>
            </w:tcMar>
            <w:vAlign w:val="center"/>
          </w:tcPr>
          <w:p w14:paraId="27E7B21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00C5507">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06160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01E5AC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38EF14B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企业所得税-基本内容</w:t>
            </w:r>
          </w:p>
        </w:tc>
        <w:tc>
          <w:tcPr>
            <w:tcW w:w="1980" w:type="dxa"/>
            <w:tcMar>
              <w:top w:w="0" w:type="dxa"/>
              <w:left w:w="108" w:type="dxa"/>
              <w:bottom w:w="0" w:type="dxa"/>
              <w:right w:w="108" w:type="dxa"/>
            </w:tcMar>
            <w:vAlign w:val="center"/>
          </w:tcPr>
          <w:p w14:paraId="1D848053">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0B40F9E3">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BF8A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73274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062020F6">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企业所得税-所得额的确定</w:t>
            </w:r>
          </w:p>
        </w:tc>
        <w:tc>
          <w:tcPr>
            <w:tcW w:w="1980" w:type="dxa"/>
            <w:tcMar>
              <w:top w:w="0" w:type="dxa"/>
              <w:left w:w="108" w:type="dxa"/>
              <w:bottom w:w="0" w:type="dxa"/>
              <w:right w:w="108" w:type="dxa"/>
            </w:tcMar>
            <w:vAlign w:val="center"/>
          </w:tcPr>
          <w:p w14:paraId="2035FBE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C90A4B4">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51AD2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5B51DB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7F8629C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期中考试复习</w:t>
            </w:r>
          </w:p>
        </w:tc>
        <w:tc>
          <w:tcPr>
            <w:tcW w:w="1980" w:type="dxa"/>
            <w:tcMar>
              <w:top w:w="0" w:type="dxa"/>
              <w:left w:w="108" w:type="dxa"/>
              <w:bottom w:w="0" w:type="dxa"/>
              <w:right w:w="108" w:type="dxa"/>
            </w:tcMar>
            <w:vAlign w:val="center"/>
          </w:tcPr>
          <w:p w14:paraId="3FFE132F">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053DCEC">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C72C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018B80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43E18FBD">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企业所得税-应纳税额的计算</w:t>
            </w:r>
          </w:p>
        </w:tc>
        <w:tc>
          <w:tcPr>
            <w:tcW w:w="1980" w:type="dxa"/>
            <w:tcMar>
              <w:top w:w="0" w:type="dxa"/>
              <w:left w:w="108" w:type="dxa"/>
              <w:bottom w:w="0" w:type="dxa"/>
              <w:right w:w="108" w:type="dxa"/>
            </w:tcMar>
            <w:vAlign w:val="center"/>
          </w:tcPr>
          <w:p w14:paraId="1D0C4A72">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17EEB632">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23B5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A60433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5FF90951">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企业所得税-纳税申报</w:t>
            </w:r>
          </w:p>
        </w:tc>
        <w:tc>
          <w:tcPr>
            <w:tcW w:w="1980" w:type="dxa"/>
            <w:tcMar>
              <w:top w:w="0" w:type="dxa"/>
              <w:left w:w="108" w:type="dxa"/>
              <w:bottom w:w="0" w:type="dxa"/>
              <w:right w:w="108" w:type="dxa"/>
            </w:tcMar>
            <w:vAlign w:val="center"/>
          </w:tcPr>
          <w:p w14:paraId="7A52341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07CFF4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0405A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6327D3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0BCC9AFB">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个人所得税-基本内容</w:t>
            </w:r>
          </w:p>
        </w:tc>
        <w:tc>
          <w:tcPr>
            <w:tcW w:w="1980" w:type="dxa"/>
            <w:tcMar>
              <w:top w:w="0" w:type="dxa"/>
              <w:left w:w="108" w:type="dxa"/>
              <w:bottom w:w="0" w:type="dxa"/>
              <w:right w:w="108" w:type="dxa"/>
            </w:tcMar>
            <w:vAlign w:val="center"/>
          </w:tcPr>
          <w:p w14:paraId="69339A23">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219C3B57">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55A3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AFA1EB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4AA9B3D9">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个人所得税-计算</w:t>
            </w:r>
          </w:p>
        </w:tc>
        <w:tc>
          <w:tcPr>
            <w:tcW w:w="1980" w:type="dxa"/>
            <w:tcMar>
              <w:top w:w="0" w:type="dxa"/>
              <w:left w:w="108" w:type="dxa"/>
              <w:bottom w:w="0" w:type="dxa"/>
              <w:right w:w="108" w:type="dxa"/>
            </w:tcMar>
            <w:vAlign w:val="center"/>
          </w:tcPr>
          <w:p w14:paraId="60FEFB9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7A464BFE">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6CDA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0B14D5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5DA11523">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个人所得税-纳税申报</w:t>
            </w:r>
          </w:p>
        </w:tc>
        <w:tc>
          <w:tcPr>
            <w:tcW w:w="1980" w:type="dxa"/>
            <w:tcMar>
              <w:top w:w="0" w:type="dxa"/>
              <w:left w:w="108" w:type="dxa"/>
              <w:bottom w:w="0" w:type="dxa"/>
              <w:right w:w="108" w:type="dxa"/>
            </w:tcMar>
            <w:vAlign w:val="center"/>
          </w:tcPr>
          <w:p w14:paraId="588F1659">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781D1CC">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5B44D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5DAABC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4421EB93">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cstheme="minorEastAsia"/>
                <w:lang w:eastAsia="en-US"/>
              </w:rPr>
              <w:t>其他税种-资源税和环境保护税类</w:t>
            </w:r>
          </w:p>
        </w:tc>
        <w:tc>
          <w:tcPr>
            <w:tcW w:w="1980" w:type="dxa"/>
            <w:tcMar>
              <w:top w:w="0" w:type="dxa"/>
              <w:left w:w="108" w:type="dxa"/>
              <w:bottom w:w="0" w:type="dxa"/>
              <w:right w:w="108" w:type="dxa"/>
            </w:tcMar>
            <w:vAlign w:val="center"/>
          </w:tcPr>
          <w:p w14:paraId="63BE398A">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D454E6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79FE7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DE86AC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289617FD">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其他税种-财产和行为税类</w:t>
            </w:r>
          </w:p>
        </w:tc>
        <w:tc>
          <w:tcPr>
            <w:tcW w:w="1980" w:type="dxa"/>
            <w:tcMar>
              <w:top w:w="0" w:type="dxa"/>
              <w:left w:w="108" w:type="dxa"/>
              <w:bottom w:w="0" w:type="dxa"/>
              <w:right w:w="108" w:type="dxa"/>
            </w:tcMar>
            <w:vAlign w:val="center"/>
          </w:tcPr>
          <w:p w14:paraId="6F0DEEC9">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A992BFC">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3177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63353C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58DB8E20">
            <w:pPr>
              <w:spacing w:line="360" w:lineRule="exact"/>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lang w:eastAsia="en-US"/>
              </w:rPr>
              <w:t>其他税种-特定目的税类</w:t>
            </w:r>
          </w:p>
        </w:tc>
        <w:tc>
          <w:tcPr>
            <w:tcW w:w="1980" w:type="dxa"/>
            <w:tcMar>
              <w:top w:w="0" w:type="dxa"/>
              <w:left w:w="108" w:type="dxa"/>
              <w:bottom w:w="0" w:type="dxa"/>
              <w:right w:w="108" w:type="dxa"/>
            </w:tcMar>
            <w:vAlign w:val="center"/>
          </w:tcPr>
          <w:p w14:paraId="330F6FD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4F0FC6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6ED64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1C92D1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50771370">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税收征纳管理</w:t>
            </w:r>
          </w:p>
        </w:tc>
        <w:tc>
          <w:tcPr>
            <w:tcW w:w="1980" w:type="dxa"/>
            <w:tcMar>
              <w:top w:w="0" w:type="dxa"/>
              <w:left w:w="108" w:type="dxa"/>
              <w:bottom w:w="0" w:type="dxa"/>
              <w:right w:w="108" w:type="dxa"/>
            </w:tcMar>
            <w:vAlign w:val="center"/>
          </w:tcPr>
          <w:p w14:paraId="53F9234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9DC539A">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419B9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845050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2A1DBAE5">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期末考试复习</w:t>
            </w:r>
          </w:p>
        </w:tc>
        <w:tc>
          <w:tcPr>
            <w:tcW w:w="1980" w:type="dxa"/>
            <w:tcMar>
              <w:top w:w="0" w:type="dxa"/>
              <w:left w:w="108" w:type="dxa"/>
              <w:bottom w:w="0" w:type="dxa"/>
              <w:right w:w="108" w:type="dxa"/>
            </w:tcMar>
            <w:vAlign w:val="center"/>
          </w:tcPr>
          <w:p w14:paraId="32E9E35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2588035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bl>
    <w:p w14:paraId="78040944"/>
    <w:p w14:paraId="26747CB1">
      <w:pPr>
        <w:rPr>
          <w:rFonts w:hint="eastAsia" w:ascii="黑体" w:hAnsi="黑体" w:eastAsia="黑体" w:cs="黑体"/>
          <w:sz w:val="30"/>
          <w:szCs w:val="30"/>
        </w:rPr>
      </w:pPr>
      <w:bookmarkStart w:id="149" w:name="_Toc32675"/>
      <w:bookmarkStart w:id="150" w:name="_Toc22257"/>
      <w:bookmarkStart w:id="151" w:name="_Toc22227"/>
      <w:r>
        <w:rPr>
          <w:rFonts w:hint="eastAsia" w:ascii="黑体" w:hAnsi="黑体" w:eastAsia="黑体" w:cs="黑体"/>
          <w:sz w:val="30"/>
          <w:szCs w:val="30"/>
        </w:rPr>
        <w:br w:type="page"/>
      </w:r>
    </w:p>
    <w:p w14:paraId="2CBE5816">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纳税实务课程标准</w:t>
      </w:r>
      <w:bookmarkEnd w:id="149"/>
      <w:bookmarkEnd w:id="150"/>
      <w:bookmarkEnd w:id="151"/>
    </w:p>
    <w:p w14:paraId="18543C1C">
      <w:pPr>
        <w:pStyle w:val="17"/>
        <w:spacing w:after="0" w:line="400" w:lineRule="exact"/>
        <w:ind w:firstLine="560" w:firstLineChars="200"/>
        <w:rPr>
          <w:rFonts w:ascii="楷体_GB2312" w:eastAsia="楷体_GB2312"/>
          <w:sz w:val="28"/>
          <w:szCs w:val="28"/>
        </w:rPr>
      </w:pPr>
    </w:p>
    <w:p w14:paraId="3E880678">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5FA0FAF3">
      <w:pPr>
        <w:spacing w:line="400" w:lineRule="exact"/>
        <w:ind w:firstLine="480" w:firstLineChars="200"/>
        <w:rPr>
          <w:rFonts w:ascii="仿宋_GB2312" w:hAnsi="Times New Roman" w:eastAsia="仿宋_GB2312" w:cs="Times New Roman"/>
          <w:sz w:val="24"/>
          <w:szCs w:val="24"/>
        </w:rPr>
      </w:pPr>
      <w:r>
        <w:rPr>
          <w:rFonts w:ascii="仿宋_GB2312" w:hAnsi="Times New Roman" w:eastAsia="仿宋_GB2312" w:cs="Times New Roman"/>
          <w:sz w:val="24"/>
          <w:szCs w:val="24"/>
        </w:rPr>
        <w:t>本</w:t>
      </w:r>
      <w:r>
        <w:rPr>
          <w:rFonts w:hint="eastAsia" w:ascii="仿宋_GB2312" w:hAnsi="Times New Roman" w:eastAsia="仿宋_GB2312" w:cs="Times New Roman"/>
          <w:sz w:val="24"/>
          <w:szCs w:val="24"/>
        </w:rPr>
        <w:t>课程是中等职业学校会计事务专业的一门专业核心课程，是从事物流客户服务工作必须学习的课程，将为后续学习其他专业方向（或专业）课程奠定基础</w:t>
      </w:r>
      <w:r>
        <w:rPr>
          <w:rFonts w:ascii="仿宋_GB2312" w:hAnsi="Times New Roman" w:eastAsia="仿宋_GB2312" w:cs="Times New Roman"/>
          <w:sz w:val="24"/>
          <w:szCs w:val="24"/>
        </w:rPr>
        <w:t>。</w:t>
      </w:r>
    </w:p>
    <w:p w14:paraId="18BE327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本课程旨在学生通过对会计事务工作的了解，熟悉各税种的概念、计税依据、征税范围等具体规定，为今后从事涉税工作打下良好的基础。</w:t>
      </w:r>
    </w:p>
    <w:p w14:paraId="47003E6F">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38EE6EEE">
      <w:pPr>
        <w:pStyle w:val="17"/>
        <w:spacing w:after="0" w:line="400" w:lineRule="exact"/>
        <w:ind w:firstLine="480" w:firstLineChars="200"/>
        <w:rPr>
          <w:sz w:val="24"/>
          <w:szCs w:val="24"/>
        </w:rPr>
      </w:pPr>
      <w:r>
        <w:rPr>
          <w:rFonts w:hint="eastAsia"/>
          <w:sz w:val="24"/>
          <w:szCs w:val="24"/>
        </w:rPr>
        <w:t>1</w:t>
      </w:r>
      <w:r>
        <w:rPr>
          <w:sz w:val="24"/>
          <w:szCs w:val="24"/>
        </w:rPr>
        <w:t>.素质目标</w:t>
      </w:r>
    </w:p>
    <w:p w14:paraId="30E7806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（1）具备严格按照税务要求执行税务相关工作的职业能力和素质； </w:t>
      </w:r>
    </w:p>
    <w:p w14:paraId="451F853D">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（2）培养严格核算，数据真实准确、客观公正的工作态度；</w:t>
      </w:r>
    </w:p>
    <w:p w14:paraId="2F55813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（3）能树立并弘扬正确的消费观念；</w:t>
      </w:r>
    </w:p>
    <w:p w14:paraId="11961AED">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（4）具备审慎的工作态度和风险意识；</w:t>
      </w:r>
    </w:p>
    <w:p w14:paraId="0285CEC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（5）理解会计税务工作的作用，培养精益求精的工作理念。</w:t>
      </w:r>
    </w:p>
    <w:p w14:paraId="5BF9D18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624A296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（1）了解增值税的应纳税额的计算、纳税义务发生时间、纳税地点、税收优惠；</w:t>
      </w:r>
    </w:p>
    <w:p w14:paraId="0A6FBFC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（2）了解消费税的应纳税额的计算、纳税义务发生时间、纳税地点、税收优惠；</w:t>
      </w:r>
    </w:p>
    <w:p w14:paraId="0101A97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（3）了解企业所得税的应纳税额的计算、纳税义务发生时间、纳税地点、税收优惠；</w:t>
      </w:r>
    </w:p>
    <w:p w14:paraId="5B50F10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（4）了解个人所得税的应纳税额的计算、纳税义务发生时间、纳税地点、税收优惠；</w:t>
      </w:r>
    </w:p>
    <w:p w14:paraId="7C24353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（5）了解其他税种的应纳税额的计算、纳税义务发生时间、纳税地点、税收优惠。</w:t>
      </w:r>
    </w:p>
    <w:p w14:paraId="08B28FE4">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04E4B26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（1）具备各税种的纳税申报的能力；</w:t>
      </w:r>
    </w:p>
    <w:p w14:paraId="08B3287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（2）具备根据不同税种税额的计算方法及公式计算的能力；</w:t>
      </w:r>
    </w:p>
    <w:p w14:paraId="33AD04F0">
      <w:pPr>
        <w:pStyle w:val="17"/>
        <w:spacing w:after="0" w:line="400" w:lineRule="exact"/>
        <w:ind w:firstLine="480" w:firstLineChars="200"/>
      </w:pPr>
      <w:r>
        <w:rPr>
          <w:rFonts w:hint="eastAsia" w:ascii="仿宋_GB2312"/>
          <w:sz w:val="24"/>
          <w:szCs w:val="24"/>
        </w:rPr>
        <w:t>（3）能够掌握各税种及相关业务的会计核算</w:t>
      </w:r>
      <w:r>
        <w:rPr>
          <w:rFonts w:hint="eastAsia"/>
        </w:rPr>
        <w:t>。</w:t>
      </w:r>
    </w:p>
    <w:p w14:paraId="535709D1">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76F7F75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72学时。</w:t>
      </w:r>
    </w:p>
    <w:p w14:paraId="28A5F59F">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23649A0B">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4学分。</w:t>
      </w:r>
    </w:p>
    <w:p w14:paraId="79746E6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p w14:paraId="4BE58A33">
      <w:pPr>
        <w:pStyle w:val="17"/>
        <w:spacing w:after="0" w:line="400" w:lineRule="exact"/>
        <w:ind w:firstLine="480" w:firstLineChars="200"/>
        <w:rPr>
          <w:rFonts w:ascii="楷体_GB2312" w:eastAsia="楷体_GB2312"/>
          <w:sz w:val="24"/>
          <w:szCs w:val="24"/>
        </w:rPr>
      </w:pPr>
      <w:r>
        <w:rPr>
          <w:rFonts w:hint="eastAsia" w:ascii="仿宋_GB2312"/>
          <w:sz w:val="24"/>
          <w:szCs w:val="24"/>
        </w:rPr>
        <w:t>本课程坚持立德树人的根本要求，结合中职</w:t>
      </w:r>
      <w:r>
        <w:rPr>
          <w:rFonts w:ascii="仿宋_GB2312"/>
          <w:sz w:val="24"/>
          <w:szCs w:val="24"/>
        </w:rPr>
        <w:t>学生学习特点，</w:t>
      </w:r>
      <w:r>
        <w:rPr>
          <w:rFonts w:hint="eastAsia" w:ascii="仿宋_GB2312"/>
          <w:sz w:val="24"/>
          <w:szCs w:val="24"/>
        </w:rPr>
        <w:t>遵循职业教育人才培养</w:t>
      </w:r>
      <w:r>
        <w:rPr>
          <w:rFonts w:ascii="仿宋_GB2312"/>
          <w:sz w:val="24"/>
          <w:szCs w:val="24"/>
        </w:rPr>
        <w:t>规律，</w:t>
      </w:r>
      <w:r>
        <w:rPr>
          <w:rFonts w:hint="eastAsia" w:ascii="仿宋_GB2312"/>
          <w:sz w:val="24"/>
          <w:szCs w:val="24"/>
        </w:rPr>
        <w:t>落实课程思政要求</w:t>
      </w:r>
      <w:r>
        <w:rPr>
          <w:rFonts w:ascii="仿宋_GB2312"/>
          <w:sz w:val="24"/>
          <w:szCs w:val="24"/>
        </w:rPr>
        <w:t>，</w:t>
      </w:r>
      <w:r>
        <w:rPr>
          <w:rFonts w:hint="eastAsia" w:ascii="仿宋_GB2312"/>
          <w:sz w:val="24"/>
          <w:szCs w:val="24"/>
        </w:rPr>
        <w:t>有机融入</w:t>
      </w:r>
      <w:r>
        <w:rPr>
          <w:rFonts w:ascii="仿宋_GB2312"/>
          <w:sz w:val="24"/>
          <w:szCs w:val="24"/>
        </w:rPr>
        <w:t>思</w:t>
      </w:r>
      <w:r>
        <w:rPr>
          <w:rFonts w:hint="eastAsia" w:ascii="仿宋_GB2312"/>
          <w:sz w:val="24"/>
          <w:szCs w:val="24"/>
        </w:rPr>
        <w:t>想政治教育内容，紧密联系工作实际，突出应用性和实践性，注重学生职业能力和可持续发展</w:t>
      </w:r>
      <w:r>
        <w:rPr>
          <w:rFonts w:ascii="仿宋_GB2312"/>
          <w:sz w:val="24"/>
          <w:szCs w:val="24"/>
        </w:rPr>
        <w:t>能力</w:t>
      </w:r>
      <w:r>
        <w:rPr>
          <w:rFonts w:hint="eastAsia" w:ascii="仿宋_GB2312"/>
          <w:sz w:val="24"/>
          <w:szCs w:val="24"/>
        </w:rPr>
        <w:t>的培养,结合中高本衔接培养需要，根据会计事务</w:t>
      </w:r>
      <w:r>
        <w:rPr>
          <w:rFonts w:ascii="仿宋_GB2312"/>
          <w:sz w:val="24"/>
          <w:szCs w:val="24"/>
        </w:rPr>
        <w:t>专业</w:t>
      </w:r>
      <w:r>
        <w:rPr>
          <w:rFonts w:hint="eastAsia" w:ascii="仿宋_GB2312"/>
          <w:sz w:val="24"/>
          <w:szCs w:val="24"/>
        </w:rPr>
        <w:t>我人才培养方案中本课程的内容与要求，合理</w:t>
      </w:r>
      <w:r>
        <w:rPr>
          <w:rFonts w:ascii="仿宋_GB2312"/>
          <w:sz w:val="24"/>
          <w:szCs w:val="24"/>
        </w:rPr>
        <w:t>设计</w:t>
      </w:r>
      <w:r>
        <w:rPr>
          <w:rFonts w:hint="eastAsia" w:ascii="仿宋_GB2312"/>
          <w:sz w:val="24"/>
          <w:szCs w:val="24"/>
        </w:rPr>
        <w:t>如下学习单元（模块）</w:t>
      </w:r>
      <w:r>
        <w:rPr>
          <w:rFonts w:ascii="仿宋_GB2312"/>
          <w:sz w:val="24"/>
          <w:szCs w:val="24"/>
        </w:rPr>
        <w:t>和教学活动</w:t>
      </w:r>
      <w:r>
        <w:rPr>
          <w:rFonts w:hint="eastAsia" w:ascii="仿宋_GB2312"/>
          <w:sz w:val="24"/>
          <w:szCs w:val="24"/>
        </w:rPr>
        <w:t>，并在素质、知识和能力等方面达到相应要求</w:t>
      </w:r>
      <w:r>
        <w:rPr>
          <w:rFonts w:ascii="仿宋_GB2312"/>
          <w:sz w:val="24"/>
          <w:szCs w:val="24"/>
        </w:rPr>
        <w:t>。</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536"/>
        <w:gridCol w:w="2433"/>
        <w:gridCol w:w="2682"/>
        <w:gridCol w:w="724"/>
      </w:tblGrid>
      <w:tr w14:paraId="5C1DB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13DD6EF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536" w:type="dxa"/>
            <w:shd w:val="clear" w:color="auto" w:fill="BEBEBE" w:themeFill="background1" w:themeFillShade="BF"/>
            <w:vAlign w:val="center"/>
          </w:tcPr>
          <w:p w14:paraId="050FA77D">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433" w:type="dxa"/>
            <w:shd w:val="clear" w:color="auto" w:fill="BEBEBE" w:themeFill="background1" w:themeFillShade="BF"/>
            <w:vAlign w:val="center"/>
          </w:tcPr>
          <w:p w14:paraId="482718DD">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55B9839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5E72C674">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6E4C774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45BEC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FDBF074">
            <w:pPr>
              <w:adjustRightInd w:val="0"/>
              <w:jc w:val="center"/>
              <w:rPr>
                <w:rFonts w:asciiTheme="minorEastAsia" w:hAnsiTheme="minorEastAsia" w:cstheme="minorEastAsia"/>
              </w:rPr>
            </w:pPr>
            <w:r>
              <w:rPr>
                <w:rFonts w:hint="eastAsia" w:asciiTheme="minorEastAsia" w:hAnsiTheme="minorEastAsia" w:cstheme="minorEastAsia"/>
              </w:rPr>
              <w:t>1</w:t>
            </w:r>
          </w:p>
        </w:tc>
        <w:tc>
          <w:tcPr>
            <w:tcW w:w="1536" w:type="dxa"/>
            <w:vAlign w:val="center"/>
          </w:tcPr>
          <w:p w14:paraId="2E1E62A0">
            <w:pPr>
              <w:adjustRightInd w:val="0"/>
              <w:jc w:val="center"/>
              <w:rPr>
                <w:rFonts w:ascii="仿宋_GB2312"/>
              </w:rPr>
            </w:pPr>
            <w:r>
              <w:rPr>
                <w:rFonts w:hint="eastAsia" w:ascii="仿宋_GB2312"/>
              </w:rPr>
              <w:t>纳税工作流程</w:t>
            </w:r>
          </w:p>
        </w:tc>
        <w:tc>
          <w:tcPr>
            <w:tcW w:w="2433" w:type="dxa"/>
            <w:vAlign w:val="center"/>
          </w:tcPr>
          <w:p w14:paraId="09457564">
            <w:pPr>
              <w:adjustRightInd w:val="0"/>
            </w:pPr>
            <w:r>
              <w:rPr>
                <w:rFonts w:hint="eastAsia"/>
              </w:rPr>
              <w:t>1.能够掌握各税种的纳税申报流程；</w:t>
            </w:r>
          </w:p>
          <w:p w14:paraId="73164776">
            <w:pPr>
              <w:adjustRightInd w:val="0"/>
            </w:pPr>
            <w:r>
              <w:rPr>
                <w:rFonts w:hint="eastAsia"/>
              </w:rPr>
              <w:t>2.掌握增值税发票的开具流程。</w:t>
            </w:r>
          </w:p>
        </w:tc>
        <w:tc>
          <w:tcPr>
            <w:tcW w:w="2682" w:type="dxa"/>
            <w:vAlign w:val="center"/>
          </w:tcPr>
          <w:p w14:paraId="1B0ECAD7">
            <w:pPr>
              <w:adjustRightInd w:val="0"/>
            </w:pPr>
            <w:r>
              <w:rPr>
                <w:rFonts w:hint="eastAsia"/>
              </w:rPr>
              <w:t>1.多媒体演示，了解纳税工作流程；</w:t>
            </w:r>
          </w:p>
          <w:p w14:paraId="706D0252">
            <w:pPr>
              <w:adjustRightInd w:val="0"/>
            </w:pPr>
            <w:r>
              <w:rPr>
                <w:rFonts w:hint="eastAsia"/>
              </w:rPr>
              <w:t>2.通过实物或图片和案例展示，更加深刻的了解纳税工作流程；</w:t>
            </w:r>
          </w:p>
          <w:p w14:paraId="5C636431">
            <w:pPr>
              <w:adjustRightInd w:val="0"/>
            </w:pPr>
            <w:r>
              <w:rPr>
                <w:rFonts w:hint="eastAsia"/>
              </w:rPr>
              <w:t>3</w:t>
            </w:r>
            <w:r>
              <w:t>.</w:t>
            </w:r>
            <w:r>
              <w:rPr>
                <w:rFonts w:hint="eastAsia"/>
              </w:rPr>
              <w:t xml:space="preserve"> 了解纳税工作流程的要求，培养严谨细致的职业精神，做到处处细留心。</w:t>
            </w:r>
          </w:p>
        </w:tc>
        <w:tc>
          <w:tcPr>
            <w:tcW w:w="724" w:type="dxa"/>
            <w:vAlign w:val="center"/>
          </w:tcPr>
          <w:p w14:paraId="44BC1B17">
            <w:pPr>
              <w:adjustRightInd w:val="0"/>
              <w:jc w:val="center"/>
            </w:pPr>
            <w:r>
              <w:rPr>
                <w:rFonts w:hint="eastAsia"/>
              </w:rPr>
              <w:t>12</w:t>
            </w:r>
          </w:p>
        </w:tc>
      </w:tr>
      <w:tr w14:paraId="26C06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A70BB6A">
            <w:pPr>
              <w:adjustRightInd w:val="0"/>
              <w:jc w:val="center"/>
              <w:rPr>
                <w:rFonts w:asciiTheme="minorEastAsia" w:hAnsiTheme="minorEastAsia" w:cstheme="minorEastAsia"/>
              </w:rPr>
            </w:pPr>
            <w:r>
              <w:rPr>
                <w:rFonts w:hint="eastAsia" w:asciiTheme="minorEastAsia" w:hAnsiTheme="minorEastAsia" w:cstheme="minorEastAsia"/>
              </w:rPr>
              <w:t>2</w:t>
            </w:r>
          </w:p>
        </w:tc>
        <w:tc>
          <w:tcPr>
            <w:tcW w:w="1536" w:type="dxa"/>
            <w:vAlign w:val="center"/>
          </w:tcPr>
          <w:p w14:paraId="5EFB1DF7">
            <w:pPr>
              <w:adjustRightInd w:val="0"/>
              <w:jc w:val="center"/>
              <w:rPr>
                <w:rFonts w:ascii="仿宋_GB2312"/>
              </w:rPr>
            </w:pPr>
            <w:r>
              <w:rPr>
                <w:rFonts w:hint="eastAsia" w:ascii="仿宋_GB2312"/>
              </w:rPr>
              <w:t>增值税计算与申报</w:t>
            </w:r>
          </w:p>
        </w:tc>
        <w:tc>
          <w:tcPr>
            <w:tcW w:w="2433" w:type="dxa"/>
            <w:vAlign w:val="center"/>
          </w:tcPr>
          <w:p w14:paraId="2A098C38">
            <w:pPr>
              <w:adjustRightInd w:val="0"/>
            </w:pPr>
            <w:r>
              <w:rPr>
                <w:rFonts w:hint="eastAsia"/>
              </w:rPr>
              <w:t>1.掌握增值税应纳税额的计算；</w:t>
            </w:r>
          </w:p>
          <w:p w14:paraId="12396F27">
            <w:pPr>
              <w:adjustRightInd w:val="0"/>
            </w:pPr>
            <w:r>
              <w:rPr>
                <w:rFonts w:hint="eastAsia"/>
              </w:rPr>
              <w:t>2.掌握增值税纳税申报表的填写方法；</w:t>
            </w:r>
          </w:p>
          <w:p w14:paraId="0D8F94FE">
            <w:pPr>
              <w:adjustRightInd w:val="0"/>
            </w:pPr>
            <w:r>
              <w:rPr>
                <w:rFonts w:hint="eastAsia"/>
              </w:rPr>
              <w:t>3.自主完成增值税纳税申报表的填制并完成纳税申报。</w:t>
            </w:r>
          </w:p>
        </w:tc>
        <w:tc>
          <w:tcPr>
            <w:tcW w:w="2682" w:type="dxa"/>
            <w:vAlign w:val="center"/>
          </w:tcPr>
          <w:p w14:paraId="7EF1B099">
            <w:pPr>
              <w:adjustRightInd w:val="0"/>
            </w:pPr>
            <w:r>
              <w:rPr>
                <w:rFonts w:hint="eastAsia"/>
              </w:rPr>
              <w:t>1.多媒体演示，了解增值税纳税申报的流程；</w:t>
            </w:r>
          </w:p>
          <w:p w14:paraId="300277FE">
            <w:pPr>
              <w:adjustRightInd w:val="0"/>
            </w:pPr>
            <w:r>
              <w:rPr>
                <w:rFonts w:hint="eastAsia"/>
              </w:rPr>
              <w:t>2.通过实物或图片和案例展示，更加深刻的了解增值税应纳税额的计算；</w:t>
            </w:r>
          </w:p>
          <w:p w14:paraId="253FA737">
            <w:pPr>
              <w:adjustRightInd w:val="0"/>
            </w:pPr>
            <w:r>
              <w:rPr>
                <w:rFonts w:hint="eastAsia"/>
              </w:rPr>
              <w:t>3</w:t>
            </w:r>
            <w:r>
              <w:t>.</w:t>
            </w:r>
            <w:r>
              <w:rPr>
                <w:rFonts w:hint="eastAsia"/>
              </w:rPr>
              <w:t>通过讲解特殊情形下增值税的计算公式，培养学生分类分级管理的理念。</w:t>
            </w:r>
          </w:p>
        </w:tc>
        <w:tc>
          <w:tcPr>
            <w:tcW w:w="724" w:type="dxa"/>
            <w:vAlign w:val="center"/>
          </w:tcPr>
          <w:p w14:paraId="292BC596">
            <w:pPr>
              <w:adjustRightInd w:val="0"/>
              <w:jc w:val="center"/>
            </w:pPr>
            <w:r>
              <w:rPr>
                <w:rFonts w:hint="eastAsia"/>
              </w:rPr>
              <w:t>18</w:t>
            </w:r>
          </w:p>
        </w:tc>
      </w:tr>
      <w:tr w14:paraId="2099F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9ED8E5B">
            <w:pPr>
              <w:adjustRightInd w:val="0"/>
              <w:jc w:val="center"/>
              <w:rPr>
                <w:rFonts w:asciiTheme="minorEastAsia" w:hAnsiTheme="minorEastAsia" w:cstheme="minorEastAsia"/>
              </w:rPr>
            </w:pPr>
            <w:r>
              <w:rPr>
                <w:rFonts w:hint="eastAsia" w:asciiTheme="minorEastAsia" w:hAnsiTheme="minorEastAsia" w:cstheme="minorEastAsia"/>
              </w:rPr>
              <w:t>3</w:t>
            </w:r>
          </w:p>
        </w:tc>
        <w:tc>
          <w:tcPr>
            <w:tcW w:w="1536" w:type="dxa"/>
            <w:vAlign w:val="center"/>
          </w:tcPr>
          <w:p w14:paraId="7776D5A3">
            <w:pPr>
              <w:adjustRightInd w:val="0"/>
              <w:jc w:val="center"/>
              <w:rPr>
                <w:rFonts w:ascii="仿宋_GB2312"/>
              </w:rPr>
            </w:pPr>
            <w:r>
              <w:rPr>
                <w:rFonts w:hint="eastAsia" w:ascii="仿宋_GB2312"/>
              </w:rPr>
              <w:t>增值税发票的使用与管理</w:t>
            </w:r>
          </w:p>
        </w:tc>
        <w:tc>
          <w:tcPr>
            <w:tcW w:w="2433" w:type="dxa"/>
            <w:vAlign w:val="center"/>
          </w:tcPr>
          <w:p w14:paraId="7B1F5702">
            <w:pPr>
              <w:adjustRightInd w:val="0"/>
            </w:pPr>
            <w:r>
              <w:rPr>
                <w:rFonts w:hint="eastAsia"/>
              </w:rPr>
              <w:t>1.理解增值税发票的使用与管理要求；</w:t>
            </w:r>
          </w:p>
          <w:p w14:paraId="6268512B">
            <w:pPr>
              <w:adjustRightInd w:val="0"/>
            </w:pPr>
            <w:r>
              <w:rPr>
                <w:rFonts w:hint="eastAsia"/>
              </w:rPr>
              <w:t>2.掌握能够领购增值税专用发票的流程。</w:t>
            </w:r>
          </w:p>
        </w:tc>
        <w:tc>
          <w:tcPr>
            <w:tcW w:w="2682" w:type="dxa"/>
            <w:vAlign w:val="center"/>
          </w:tcPr>
          <w:p w14:paraId="6231123E">
            <w:pPr>
              <w:adjustRightInd w:val="0"/>
            </w:pPr>
            <w:r>
              <w:rPr>
                <w:rFonts w:hint="eastAsia"/>
              </w:rPr>
              <w:t>1.多媒体演示，了解增值税的基础知识；</w:t>
            </w:r>
          </w:p>
          <w:p w14:paraId="473152ED">
            <w:pPr>
              <w:adjustRightInd w:val="0"/>
            </w:pPr>
            <w:r>
              <w:rPr>
                <w:rFonts w:hint="eastAsia"/>
              </w:rPr>
              <w:t>2.通过实物或图片和案例展示，更加深刻的了解增值税发票的使用流程；</w:t>
            </w:r>
          </w:p>
          <w:p w14:paraId="21BBFB08">
            <w:pPr>
              <w:adjustRightInd w:val="0"/>
            </w:pPr>
            <w:r>
              <w:rPr>
                <w:rFonts w:hint="eastAsia"/>
              </w:rPr>
              <w:t>3</w:t>
            </w:r>
            <w:r>
              <w:t>.</w:t>
            </w:r>
            <w:r>
              <w:rPr>
                <w:rFonts w:hint="eastAsia"/>
              </w:rPr>
              <w:t>通过阐述增值税发票的管理要求，贯彻谨慎性原则，塑造慎独慎欲、慎省慎微的行事风格。</w:t>
            </w:r>
          </w:p>
        </w:tc>
        <w:tc>
          <w:tcPr>
            <w:tcW w:w="724" w:type="dxa"/>
            <w:vAlign w:val="center"/>
          </w:tcPr>
          <w:p w14:paraId="7A928256">
            <w:pPr>
              <w:adjustRightInd w:val="0"/>
              <w:jc w:val="center"/>
            </w:pPr>
            <w:r>
              <w:rPr>
                <w:rFonts w:hint="eastAsia"/>
              </w:rPr>
              <w:t>6</w:t>
            </w:r>
          </w:p>
        </w:tc>
      </w:tr>
      <w:tr w14:paraId="4DD2D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83FD4FB">
            <w:pPr>
              <w:adjustRightInd w:val="0"/>
              <w:jc w:val="center"/>
              <w:rPr>
                <w:rFonts w:asciiTheme="minorEastAsia" w:hAnsiTheme="minorEastAsia" w:cstheme="minorEastAsia"/>
              </w:rPr>
            </w:pPr>
            <w:r>
              <w:rPr>
                <w:rFonts w:hint="eastAsia" w:asciiTheme="minorEastAsia" w:hAnsiTheme="minorEastAsia" w:cstheme="minorEastAsia"/>
              </w:rPr>
              <w:t>4</w:t>
            </w:r>
          </w:p>
        </w:tc>
        <w:tc>
          <w:tcPr>
            <w:tcW w:w="1536" w:type="dxa"/>
            <w:vAlign w:val="center"/>
          </w:tcPr>
          <w:p w14:paraId="41F9A413">
            <w:pPr>
              <w:adjustRightInd w:val="0"/>
              <w:jc w:val="center"/>
              <w:rPr>
                <w:rFonts w:ascii="仿宋_GB2312"/>
              </w:rPr>
            </w:pPr>
            <w:r>
              <w:rPr>
                <w:rFonts w:hint="eastAsia" w:ascii="仿宋_GB2312"/>
              </w:rPr>
              <w:t>消费税计算与申报</w:t>
            </w:r>
          </w:p>
        </w:tc>
        <w:tc>
          <w:tcPr>
            <w:tcW w:w="2433" w:type="dxa"/>
            <w:vAlign w:val="center"/>
          </w:tcPr>
          <w:p w14:paraId="55B0221F">
            <w:pPr>
              <w:adjustRightInd w:val="0"/>
            </w:pPr>
            <w:r>
              <w:rPr>
                <w:rFonts w:hint="eastAsia"/>
              </w:rPr>
              <w:t>1.掌握消费税应纳税额的计算；</w:t>
            </w:r>
          </w:p>
          <w:p w14:paraId="6E1BCE62">
            <w:pPr>
              <w:adjustRightInd w:val="0"/>
            </w:pPr>
            <w:r>
              <w:rPr>
                <w:rFonts w:hint="eastAsia"/>
              </w:rPr>
              <w:t>2.掌握消费税纳税申报表的填写方法；</w:t>
            </w:r>
          </w:p>
          <w:p w14:paraId="3C81D10F">
            <w:pPr>
              <w:adjustRightInd w:val="0"/>
            </w:pPr>
            <w:r>
              <w:rPr>
                <w:rFonts w:hint="eastAsia"/>
              </w:rPr>
              <w:t>3.自主完成消费税纳税申报表的填制并完成纳税申报。</w:t>
            </w:r>
          </w:p>
        </w:tc>
        <w:tc>
          <w:tcPr>
            <w:tcW w:w="2682" w:type="dxa"/>
            <w:vAlign w:val="center"/>
          </w:tcPr>
          <w:p w14:paraId="6ED2D300">
            <w:pPr>
              <w:adjustRightInd w:val="0"/>
            </w:pPr>
            <w:r>
              <w:rPr>
                <w:rFonts w:hint="eastAsia"/>
              </w:rPr>
              <w:t>1.多媒体演示，了解消费税纳税申报的流程；</w:t>
            </w:r>
          </w:p>
          <w:p w14:paraId="7A999CE2">
            <w:pPr>
              <w:adjustRightInd w:val="0"/>
            </w:pPr>
            <w:r>
              <w:rPr>
                <w:rFonts w:hint="eastAsia"/>
              </w:rPr>
              <w:t>2.通过实物或图片和案例展示，更加深刻的了解消费税应纳税额的计算；</w:t>
            </w:r>
          </w:p>
          <w:p w14:paraId="50127BF1">
            <w:pPr>
              <w:adjustRightInd w:val="0"/>
            </w:pPr>
            <w:r>
              <w:rPr>
                <w:rFonts w:hint="eastAsia"/>
              </w:rPr>
              <w:t>3</w:t>
            </w:r>
            <w:r>
              <w:t>.</w:t>
            </w:r>
            <w:r>
              <w:rPr>
                <w:rFonts w:hint="eastAsia" w:cs="等线 Light"/>
              </w:rPr>
              <w:t>通过讲解消费税纳税申报流程，培养学生扎实严谨的工作作风和实事求是的工作态度。</w:t>
            </w:r>
          </w:p>
        </w:tc>
        <w:tc>
          <w:tcPr>
            <w:tcW w:w="724" w:type="dxa"/>
            <w:vAlign w:val="center"/>
          </w:tcPr>
          <w:p w14:paraId="07772D61">
            <w:pPr>
              <w:adjustRightInd w:val="0"/>
              <w:jc w:val="center"/>
            </w:pPr>
            <w:r>
              <w:rPr>
                <w:rFonts w:hint="eastAsia"/>
              </w:rPr>
              <w:t>6</w:t>
            </w:r>
          </w:p>
        </w:tc>
      </w:tr>
      <w:tr w14:paraId="52779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0C1A90D">
            <w:pPr>
              <w:adjustRightInd w:val="0"/>
              <w:jc w:val="center"/>
              <w:rPr>
                <w:rFonts w:asciiTheme="minorEastAsia" w:hAnsiTheme="minorEastAsia" w:cstheme="minorEastAsia"/>
              </w:rPr>
            </w:pPr>
            <w:r>
              <w:rPr>
                <w:rFonts w:hint="eastAsia" w:asciiTheme="minorEastAsia" w:hAnsiTheme="minorEastAsia" w:cstheme="minorEastAsia"/>
              </w:rPr>
              <w:t>5</w:t>
            </w:r>
          </w:p>
        </w:tc>
        <w:tc>
          <w:tcPr>
            <w:tcW w:w="1536" w:type="dxa"/>
            <w:vAlign w:val="center"/>
          </w:tcPr>
          <w:p w14:paraId="367FCD53">
            <w:pPr>
              <w:adjustRightInd w:val="0"/>
              <w:jc w:val="center"/>
              <w:rPr>
                <w:rFonts w:ascii="仿宋_GB2312"/>
              </w:rPr>
            </w:pPr>
            <w:r>
              <w:rPr>
                <w:rFonts w:hint="eastAsia" w:ascii="仿宋_GB2312"/>
              </w:rPr>
              <w:t>企业所得税计算与申报</w:t>
            </w:r>
          </w:p>
        </w:tc>
        <w:tc>
          <w:tcPr>
            <w:tcW w:w="2433" w:type="dxa"/>
            <w:vAlign w:val="center"/>
          </w:tcPr>
          <w:p w14:paraId="1E5E63A7">
            <w:pPr>
              <w:adjustRightInd w:val="0"/>
            </w:pPr>
            <w:r>
              <w:rPr>
                <w:rFonts w:hint="eastAsia"/>
              </w:rPr>
              <w:t>1.掌握企业所得税应纳税额的计算；</w:t>
            </w:r>
          </w:p>
          <w:p w14:paraId="7D8E7D34">
            <w:pPr>
              <w:adjustRightInd w:val="0"/>
            </w:pPr>
            <w:r>
              <w:rPr>
                <w:rFonts w:hint="eastAsia"/>
              </w:rPr>
              <w:t>2.掌握企业所得税纳税申报表的填写方法；</w:t>
            </w:r>
          </w:p>
          <w:p w14:paraId="5A5E49DB">
            <w:pPr>
              <w:adjustRightInd w:val="0"/>
            </w:pPr>
            <w:r>
              <w:rPr>
                <w:rFonts w:hint="eastAsia"/>
              </w:rPr>
              <w:t>3.自主完成企业所得税纳税申报表的填制并完成纳税申报。</w:t>
            </w:r>
          </w:p>
        </w:tc>
        <w:tc>
          <w:tcPr>
            <w:tcW w:w="2682" w:type="dxa"/>
            <w:vAlign w:val="center"/>
          </w:tcPr>
          <w:p w14:paraId="51D6B12B">
            <w:pPr>
              <w:adjustRightInd w:val="0"/>
            </w:pPr>
            <w:r>
              <w:rPr>
                <w:rFonts w:hint="eastAsia"/>
              </w:rPr>
              <w:t>1.多媒体演示，了解企业所得税税纳税申报的流程；</w:t>
            </w:r>
          </w:p>
          <w:p w14:paraId="0093D394">
            <w:pPr>
              <w:adjustRightInd w:val="0"/>
            </w:pPr>
            <w:r>
              <w:rPr>
                <w:rFonts w:hint="eastAsia"/>
              </w:rPr>
              <w:t>2.通过实物或图片和案例展示，更加深刻的了解企业所得税应纳税额的计算；</w:t>
            </w:r>
          </w:p>
          <w:p w14:paraId="560FBD19">
            <w:pPr>
              <w:adjustRightInd w:val="0"/>
            </w:pPr>
            <w:r>
              <w:rPr>
                <w:rFonts w:hint="eastAsia"/>
              </w:rPr>
              <w:t>3</w:t>
            </w:r>
            <w:r>
              <w:t>.</w:t>
            </w:r>
            <w:r>
              <w:rPr>
                <w:rFonts w:hint="eastAsia" w:cs="等线 Light"/>
              </w:rPr>
              <w:t>通过企业所得税的征税范围，揭示“人生更没有万能公式”的哲理。</w:t>
            </w:r>
          </w:p>
        </w:tc>
        <w:tc>
          <w:tcPr>
            <w:tcW w:w="724" w:type="dxa"/>
            <w:vAlign w:val="center"/>
          </w:tcPr>
          <w:p w14:paraId="578D43C2">
            <w:pPr>
              <w:adjustRightInd w:val="0"/>
              <w:jc w:val="center"/>
            </w:pPr>
            <w:r>
              <w:rPr>
                <w:rFonts w:hint="eastAsia"/>
              </w:rPr>
              <w:t>24</w:t>
            </w:r>
          </w:p>
        </w:tc>
      </w:tr>
      <w:tr w14:paraId="79D56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BF92CA6">
            <w:pPr>
              <w:adjustRightInd w:val="0"/>
              <w:jc w:val="center"/>
              <w:rPr>
                <w:rFonts w:asciiTheme="minorEastAsia" w:hAnsiTheme="minorEastAsia" w:cstheme="minorEastAsia"/>
              </w:rPr>
            </w:pPr>
            <w:r>
              <w:rPr>
                <w:rFonts w:hint="eastAsia" w:asciiTheme="minorEastAsia" w:hAnsiTheme="minorEastAsia" w:cstheme="minorEastAsia"/>
              </w:rPr>
              <w:t>6</w:t>
            </w:r>
          </w:p>
        </w:tc>
        <w:tc>
          <w:tcPr>
            <w:tcW w:w="1536" w:type="dxa"/>
            <w:vAlign w:val="center"/>
          </w:tcPr>
          <w:p w14:paraId="00A8E8BA">
            <w:pPr>
              <w:adjustRightInd w:val="0"/>
              <w:jc w:val="center"/>
              <w:rPr>
                <w:rFonts w:ascii="仿宋_GB2312"/>
              </w:rPr>
            </w:pPr>
            <w:r>
              <w:rPr>
                <w:rFonts w:hint="eastAsia" w:ascii="仿宋_GB2312"/>
              </w:rPr>
              <w:t>个人所得税计算与申报</w:t>
            </w:r>
          </w:p>
        </w:tc>
        <w:tc>
          <w:tcPr>
            <w:tcW w:w="2433" w:type="dxa"/>
            <w:vAlign w:val="center"/>
          </w:tcPr>
          <w:p w14:paraId="004482D6">
            <w:pPr>
              <w:adjustRightInd w:val="0"/>
            </w:pPr>
            <w:r>
              <w:rPr>
                <w:rFonts w:hint="eastAsia"/>
              </w:rPr>
              <w:t>1.掌握个人所得税应纳税额的计算；</w:t>
            </w:r>
          </w:p>
          <w:p w14:paraId="256263D3">
            <w:pPr>
              <w:adjustRightInd w:val="0"/>
            </w:pPr>
            <w:r>
              <w:rPr>
                <w:rFonts w:hint="eastAsia"/>
              </w:rPr>
              <w:t>2.掌握个人所得税纳税申报表的填写方法；</w:t>
            </w:r>
          </w:p>
          <w:p w14:paraId="300A5F6A">
            <w:pPr>
              <w:adjustRightInd w:val="0"/>
            </w:pPr>
            <w:r>
              <w:rPr>
                <w:rFonts w:hint="eastAsia"/>
              </w:rPr>
              <w:t>3.自主完成个人所得税纳税申报表的填制并完成纳税申报。</w:t>
            </w:r>
          </w:p>
        </w:tc>
        <w:tc>
          <w:tcPr>
            <w:tcW w:w="2682" w:type="dxa"/>
            <w:vAlign w:val="center"/>
          </w:tcPr>
          <w:p w14:paraId="71D0EB12">
            <w:pPr>
              <w:adjustRightInd w:val="0"/>
            </w:pPr>
            <w:r>
              <w:rPr>
                <w:rFonts w:hint="eastAsia"/>
              </w:rPr>
              <w:t>1.多媒体演示，了解个人所得税纳税申报的流程；</w:t>
            </w:r>
          </w:p>
          <w:p w14:paraId="63F20D73">
            <w:pPr>
              <w:adjustRightInd w:val="0"/>
            </w:pPr>
            <w:r>
              <w:rPr>
                <w:rFonts w:hint="eastAsia"/>
              </w:rPr>
              <w:t>2.通过实物或图片和案例展示，更加深刻的了解个人所得税应纳税额的计算；</w:t>
            </w:r>
          </w:p>
          <w:p w14:paraId="58B12142">
            <w:pPr>
              <w:adjustRightInd w:val="0"/>
            </w:pPr>
            <w:r>
              <w:rPr>
                <w:rFonts w:hint="eastAsia"/>
              </w:rPr>
              <w:t>3</w:t>
            </w:r>
            <w:r>
              <w:t>.</w:t>
            </w:r>
            <w:r>
              <w:rPr>
                <w:rFonts w:hint="eastAsia" w:cs="等线 Light"/>
              </w:rPr>
              <w:t>帮助学生树立“博观而约取，厚积而薄发”的思维意识。</w:t>
            </w:r>
          </w:p>
        </w:tc>
        <w:tc>
          <w:tcPr>
            <w:tcW w:w="724" w:type="dxa"/>
            <w:vAlign w:val="center"/>
          </w:tcPr>
          <w:p w14:paraId="6C95CEDC">
            <w:pPr>
              <w:adjustRightInd w:val="0"/>
              <w:jc w:val="center"/>
              <w:rPr>
                <w:rFonts w:ascii="仿宋_GB2312"/>
              </w:rPr>
            </w:pPr>
            <w:r>
              <w:rPr>
                <w:rFonts w:hint="eastAsia"/>
              </w:rPr>
              <w:t>18</w:t>
            </w:r>
          </w:p>
        </w:tc>
      </w:tr>
      <w:tr w14:paraId="78FB1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70D874F">
            <w:pPr>
              <w:adjustRightInd w:val="0"/>
              <w:jc w:val="center"/>
              <w:rPr>
                <w:rFonts w:asciiTheme="minorEastAsia" w:hAnsiTheme="minorEastAsia" w:cstheme="minorEastAsia"/>
              </w:rPr>
            </w:pPr>
            <w:r>
              <w:rPr>
                <w:rFonts w:hint="eastAsia" w:asciiTheme="minorEastAsia" w:hAnsiTheme="minorEastAsia" w:cstheme="minorEastAsia"/>
              </w:rPr>
              <w:t>7</w:t>
            </w:r>
          </w:p>
        </w:tc>
        <w:tc>
          <w:tcPr>
            <w:tcW w:w="1536" w:type="dxa"/>
            <w:vAlign w:val="center"/>
          </w:tcPr>
          <w:p w14:paraId="59270993">
            <w:pPr>
              <w:adjustRightInd w:val="0"/>
              <w:jc w:val="center"/>
              <w:rPr>
                <w:rFonts w:ascii="仿宋_GB2312"/>
              </w:rPr>
            </w:pPr>
            <w:r>
              <w:rPr>
                <w:rFonts w:hint="eastAsia" w:ascii="仿宋_GB2312"/>
              </w:rPr>
              <w:t>其他税种计算与申报</w:t>
            </w:r>
          </w:p>
        </w:tc>
        <w:tc>
          <w:tcPr>
            <w:tcW w:w="2433" w:type="dxa"/>
            <w:vAlign w:val="center"/>
          </w:tcPr>
          <w:p w14:paraId="1AF1EE94">
            <w:pPr>
              <w:pStyle w:val="2"/>
              <w:rPr>
                <w:rFonts w:ascii="宋体" w:hAnsi="宋体"/>
              </w:rPr>
            </w:pPr>
            <w:r>
              <w:rPr>
                <w:rFonts w:hint="eastAsia" w:ascii="宋体" w:hAnsi="宋体"/>
              </w:rPr>
              <w:t>1. 印花税、契税、城市维护建设税、教育费附加、城镇土地使用税、印花税、资源税、房产税、车船税、车辆购置税、环境保护税的应纳税额的计算、纳税地点、纳税义务发生时间。</w:t>
            </w:r>
          </w:p>
        </w:tc>
        <w:tc>
          <w:tcPr>
            <w:tcW w:w="2682" w:type="dxa"/>
            <w:vAlign w:val="center"/>
          </w:tcPr>
          <w:p w14:paraId="06E23069">
            <w:pPr>
              <w:adjustRightInd w:val="0"/>
            </w:pPr>
            <w:r>
              <w:rPr>
                <w:rFonts w:hint="eastAsia"/>
              </w:rPr>
              <w:t>1.多媒体演示，了解其他税种纳税申报的流程；</w:t>
            </w:r>
          </w:p>
          <w:p w14:paraId="2F585D02">
            <w:pPr>
              <w:adjustRightInd w:val="0"/>
            </w:pPr>
            <w:r>
              <w:rPr>
                <w:rFonts w:hint="eastAsia"/>
              </w:rPr>
              <w:t>2.通过实物或图片和案例展示，更加深刻的了解其他税种应纳税额的计算；</w:t>
            </w:r>
          </w:p>
          <w:p w14:paraId="53E29C19">
            <w:pPr>
              <w:adjustRightInd w:val="0"/>
            </w:pPr>
            <w:r>
              <w:rPr>
                <w:rFonts w:hint="eastAsia"/>
              </w:rPr>
              <w:t>3</w:t>
            </w:r>
            <w:r>
              <w:t>.</w:t>
            </w:r>
            <w:r>
              <w:rPr>
                <w:rFonts w:hint="eastAsia"/>
              </w:rPr>
              <w:t>通过了解</w:t>
            </w:r>
            <w:r>
              <w:rPr>
                <w:rFonts w:hint="eastAsia" w:cs="等线 Light"/>
              </w:rPr>
              <w:t>房产税、契税、土地增值税、城镇土地增值税之间的联系，指导学生从固有联系中把握事物，切忌主观随意性。</w:t>
            </w:r>
          </w:p>
        </w:tc>
        <w:tc>
          <w:tcPr>
            <w:tcW w:w="724" w:type="dxa"/>
            <w:vAlign w:val="center"/>
          </w:tcPr>
          <w:p w14:paraId="365ED364">
            <w:pPr>
              <w:adjustRightInd w:val="0"/>
              <w:jc w:val="center"/>
              <w:rPr>
                <w:rFonts w:ascii="仿宋_GB2312"/>
              </w:rPr>
            </w:pPr>
            <w:r>
              <w:rPr>
                <w:rFonts w:hint="eastAsia"/>
              </w:rPr>
              <w:t>24</w:t>
            </w:r>
          </w:p>
        </w:tc>
      </w:tr>
    </w:tbl>
    <w:p w14:paraId="5E82A743">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0AD1E667">
      <w:pPr>
        <w:pStyle w:val="17"/>
        <w:spacing w:after="0" w:line="400" w:lineRule="exact"/>
        <w:ind w:firstLine="480" w:firstLineChars="200"/>
        <w:rPr>
          <w:sz w:val="24"/>
          <w:szCs w:val="24"/>
        </w:rPr>
      </w:pPr>
      <w:r>
        <w:rPr>
          <w:rFonts w:hint="eastAsia"/>
          <w:sz w:val="24"/>
          <w:szCs w:val="24"/>
        </w:rPr>
        <w:t>1.教学方法</w:t>
      </w:r>
    </w:p>
    <w:p w14:paraId="45AB28FC">
      <w:pPr>
        <w:pStyle w:val="17"/>
        <w:spacing w:after="0" w:line="400" w:lineRule="exact"/>
        <w:ind w:firstLine="480" w:firstLineChars="200"/>
        <w:rPr>
          <w:rFonts w:ascii="仿宋_GB2312"/>
          <w:sz w:val="24"/>
          <w:szCs w:val="24"/>
        </w:rPr>
      </w:pPr>
      <w:r>
        <w:rPr>
          <w:rFonts w:hint="eastAsia" w:ascii="仿宋_GB2312"/>
          <w:sz w:val="24"/>
          <w:szCs w:val="24"/>
        </w:rPr>
        <w:t>本课程教学可采用课堂讲授、项目小组教学、任务驱动教学、演示模拟教学、分角色实训等方法，激发学生的学习兴趣，帮助学生了解税收相关知识，培养学生税务工作的职业意识和职业习惯。以探索问题完成任务来引起和维持学生的学习兴趣和动机，培养学生自主探索、独立学习和发现问题、分析问题、解决问题的能力。采用办税业务的实用案例、违法处理的警示案例等进行演示，引导课程内容的展开，激发学生的学习兴趣；通过案例分析能促进学生的思考，加深对税法的理解。</w:t>
      </w:r>
    </w:p>
    <w:p w14:paraId="596CA1A6">
      <w:pPr>
        <w:pStyle w:val="17"/>
        <w:spacing w:after="0" w:line="400" w:lineRule="exact"/>
        <w:ind w:firstLine="480" w:firstLineChars="200"/>
        <w:rPr>
          <w:sz w:val="24"/>
          <w:szCs w:val="24"/>
        </w:rPr>
      </w:pPr>
      <w:r>
        <w:rPr>
          <w:rFonts w:hint="eastAsia"/>
          <w:sz w:val="24"/>
          <w:szCs w:val="24"/>
        </w:rPr>
        <w:t>2.评价方法</w:t>
      </w:r>
    </w:p>
    <w:p w14:paraId="5FF70E67">
      <w:pPr>
        <w:pStyle w:val="17"/>
        <w:spacing w:after="0" w:line="400" w:lineRule="exact"/>
        <w:ind w:firstLine="480" w:firstLineChars="200"/>
        <w:rPr>
          <w:sz w:val="24"/>
          <w:szCs w:val="24"/>
        </w:rPr>
      </w:pPr>
      <w:r>
        <w:rPr>
          <w:rFonts w:hint="eastAsia"/>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6EA59432">
      <w:pPr>
        <w:pStyle w:val="17"/>
        <w:spacing w:after="0" w:line="400" w:lineRule="exact"/>
        <w:ind w:firstLine="480" w:firstLineChars="200"/>
        <w:rPr>
          <w:sz w:val="24"/>
          <w:szCs w:val="24"/>
        </w:rPr>
      </w:pPr>
      <w:r>
        <w:rPr>
          <w:rFonts w:hint="eastAsia"/>
          <w:sz w:val="24"/>
          <w:szCs w:val="24"/>
        </w:rPr>
        <w:t>课程成绩形成方式建议: 总评成绩= 平时成绩*30%+期中成绩*30%+期末成*40%。</w:t>
      </w:r>
    </w:p>
    <w:p w14:paraId="2C741C01">
      <w:pPr>
        <w:pStyle w:val="17"/>
        <w:spacing w:after="0" w:line="400" w:lineRule="exact"/>
        <w:ind w:firstLine="480" w:firstLineChars="200"/>
        <w:rPr>
          <w:sz w:val="24"/>
          <w:szCs w:val="24"/>
        </w:rPr>
      </w:pPr>
      <w:r>
        <w:rPr>
          <w:rFonts w:hint="eastAsia"/>
          <w:sz w:val="24"/>
          <w:szCs w:val="24"/>
        </w:rPr>
        <w:t>3.教学条件</w:t>
      </w:r>
    </w:p>
    <w:p w14:paraId="4B75CD18">
      <w:pPr>
        <w:pStyle w:val="17"/>
        <w:spacing w:after="0" w:line="400" w:lineRule="exact"/>
        <w:ind w:firstLine="480" w:firstLineChars="200"/>
        <w:rPr>
          <w:bCs/>
          <w:sz w:val="24"/>
          <w:szCs w:val="24"/>
        </w:rPr>
      </w:pPr>
      <w:r>
        <w:rPr>
          <w:rFonts w:hint="eastAsia"/>
          <w:bCs/>
          <w:sz w:val="24"/>
          <w:szCs w:val="24"/>
        </w:rPr>
        <w:t>本课程也需要满足必要的教学条件，主要包括课程教学条件和实践教学条件两方面。必要的课堂教学条件是指具备本专业或相近专业本科及以上学历，具有扎实的税收理论功底和一定的税收岗位经历，熟悉税法的相关规定，能够指导学生进行企业纳税岗位业务的示范教学。必要的实践教学条件是指配备装有电子报税模拟实训系统的机房，拥有足够数量的实训资料。</w:t>
      </w:r>
    </w:p>
    <w:p w14:paraId="41708A6D">
      <w:pPr>
        <w:pStyle w:val="17"/>
        <w:spacing w:after="0" w:line="400" w:lineRule="exact"/>
        <w:ind w:firstLine="480" w:firstLineChars="200"/>
        <w:rPr>
          <w:bCs/>
          <w:sz w:val="24"/>
          <w:szCs w:val="24"/>
        </w:rPr>
      </w:pPr>
      <w:r>
        <w:rPr>
          <w:rFonts w:hint="eastAsia"/>
          <w:bCs/>
          <w:sz w:val="24"/>
          <w:szCs w:val="24"/>
        </w:rPr>
        <w:t>4.教材编选</w:t>
      </w:r>
    </w:p>
    <w:p w14:paraId="67400274">
      <w:pPr>
        <w:pStyle w:val="17"/>
        <w:spacing w:after="0" w:line="400" w:lineRule="exact"/>
        <w:ind w:firstLine="480" w:firstLineChars="200"/>
        <w:rPr>
          <w:bCs/>
          <w:sz w:val="24"/>
          <w:szCs w:val="24"/>
        </w:rPr>
      </w:pPr>
      <w:r>
        <w:rPr>
          <w:rFonts w:hint="eastAsia"/>
          <w:bCs/>
          <w:sz w:val="24"/>
          <w:szCs w:val="24"/>
        </w:rPr>
        <w:t>教材从国家和省发布的省级以上规划教材目录中选用，倡导选用活页式、工作手册式新形态教材。国家和省级规划目录中没有的教材，可在国家和省职业院校教材信息库选用。</w:t>
      </w:r>
    </w:p>
    <w:p w14:paraId="7537CB0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教材应依据本课程标准编写教材编写应以本课程标准为依据，合理安排教材内容。教材编写过程中应注意理论与实际相结合，做到学做合一，理实一体，内容和形式要有利于学生的全面发展和长远发展。教材应该尽可能采用启发式、发现式的学习方式，促使学生拓展思维，开阔视野，培养创新精神和实践能力。教材应配有实践内容或配套实训教材。</w:t>
      </w:r>
    </w:p>
    <w:p w14:paraId="3F7900BC">
      <w:pPr>
        <w:spacing w:line="400" w:lineRule="exact"/>
        <w:ind w:firstLine="480" w:firstLineChars="200"/>
        <w:rPr>
          <w:rFonts w:ascii="黑体" w:hAnsi="黑体" w:eastAsia="黑体"/>
          <w:sz w:val="28"/>
          <w:szCs w:val="28"/>
        </w:rPr>
      </w:pPr>
      <w:r>
        <w:rPr>
          <w:rFonts w:hint="eastAsia" w:ascii="仿宋_GB2312" w:hAnsi="Times New Roman" w:eastAsia="仿宋_GB2312" w:cs="Times New Roman"/>
          <w:sz w:val="24"/>
          <w:szCs w:val="24"/>
        </w:rPr>
        <w:t>教师要善于结合实际教学需要，灵活地和有创造性地使用教材，对教材的内容、编排顺序、教学方法等方面进行适当的取舍或调整。教材使用一段时间以后，应该及时对使用情况进行总结分析，思考一下教材的使用是否达到了预先制订的教学目标；是否有利于提高教学效果；应该在哪些方面做进一步的调整；是否继续使用该教材等。</w:t>
      </w:r>
    </w:p>
    <w:p w14:paraId="66C6FCFB">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20E4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6D23203B">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4FBF059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59459649">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73353F05">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11FBB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03F7287E">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07933B0B">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纳税工作流程-增值税发票开具流程</w:t>
            </w:r>
          </w:p>
        </w:tc>
        <w:tc>
          <w:tcPr>
            <w:tcW w:w="1980" w:type="dxa"/>
            <w:tcMar>
              <w:top w:w="0" w:type="dxa"/>
              <w:left w:w="108" w:type="dxa"/>
              <w:bottom w:w="0" w:type="dxa"/>
              <w:right w:w="108" w:type="dxa"/>
            </w:tcMar>
            <w:vAlign w:val="center"/>
          </w:tcPr>
          <w:p w14:paraId="3DF7B00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6453619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5B023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169A672A">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116FE26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纳税工作流程-各个税种的申报流程</w:t>
            </w:r>
          </w:p>
        </w:tc>
        <w:tc>
          <w:tcPr>
            <w:tcW w:w="1980" w:type="dxa"/>
            <w:tcMar>
              <w:top w:w="0" w:type="dxa"/>
              <w:left w:w="108" w:type="dxa"/>
              <w:bottom w:w="0" w:type="dxa"/>
              <w:right w:w="108" w:type="dxa"/>
            </w:tcMar>
            <w:vAlign w:val="center"/>
          </w:tcPr>
          <w:p w14:paraId="0C7F6C3B">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C48562C">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73E4C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B034932">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13707B39">
            <w:pPr>
              <w:pStyle w:val="178"/>
              <w:spacing w:line="360" w:lineRule="exact"/>
              <w:rPr>
                <w:rFonts w:asciiTheme="minorEastAsia" w:hAnsiTheme="minorEastAsia" w:eastAsiaTheme="minorEastAsia" w:cstheme="minorEastAsia"/>
                <w:spacing w:val="7"/>
                <w:lang w:eastAsia="en-US"/>
              </w:rPr>
            </w:pPr>
            <w:r>
              <w:rPr>
                <w:rFonts w:asciiTheme="minorEastAsia" w:hAnsiTheme="minorEastAsia" w:eastAsiaTheme="minorEastAsia" w:cstheme="minorEastAsia"/>
                <w:spacing w:val="7"/>
                <w:lang w:eastAsia="en-US"/>
              </w:rPr>
              <w:t>增值税计算与申报</w:t>
            </w:r>
            <w:r>
              <w:rPr>
                <w:rFonts w:hint="eastAsia" w:asciiTheme="minorEastAsia" w:hAnsiTheme="minorEastAsia" w:eastAsiaTheme="minorEastAsia" w:cstheme="minorEastAsia"/>
                <w:spacing w:val="7"/>
                <w:lang w:eastAsia="en-US"/>
              </w:rPr>
              <w:t>-</w:t>
            </w:r>
            <w:r>
              <w:rPr>
                <w:rFonts w:asciiTheme="minorEastAsia" w:hAnsiTheme="minorEastAsia" w:eastAsiaTheme="minorEastAsia" w:cstheme="minorEastAsia"/>
                <w:spacing w:val="7"/>
                <w:lang w:eastAsia="en-US"/>
              </w:rPr>
              <w:t>增值税计算</w:t>
            </w:r>
            <w:r>
              <w:rPr>
                <w:rFonts w:hint="eastAsia" w:asciiTheme="minorEastAsia" w:hAnsiTheme="minorEastAsia" w:eastAsiaTheme="minorEastAsia" w:cstheme="minorEastAsia"/>
                <w:spacing w:val="7"/>
                <w:lang w:eastAsia="en-US"/>
              </w:rPr>
              <w:t>（一般纳税人）</w:t>
            </w:r>
          </w:p>
        </w:tc>
        <w:tc>
          <w:tcPr>
            <w:tcW w:w="1980" w:type="dxa"/>
            <w:tcMar>
              <w:top w:w="0" w:type="dxa"/>
              <w:left w:w="108" w:type="dxa"/>
              <w:bottom w:w="0" w:type="dxa"/>
              <w:right w:w="108" w:type="dxa"/>
            </w:tcMar>
            <w:vAlign w:val="center"/>
          </w:tcPr>
          <w:p w14:paraId="3E749FCA">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A7092D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B494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8D2C3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181AE925">
            <w:pPr>
              <w:spacing w:line="360" w:lineRule="exact"/>
              <w:rPr>
                <w:rFonts w:asciiTheme="minorEastAsia" w:hAnsiTheme="minorEastAsia" w:cstheme="minorEastAsia"/>
                <w:snapToGrid w:val="0"/>
                <w:color w:val="000000"/>
                <w:spacing w:val="7"/>
                <w:lang w:eastAsia="en-US"/>
              </w:rPr>
            </w:pPr>
            <w:r>
              <w:rPr>
                <w:rFonts w:asciiTheme="minorEastAsia" w:hAnsiTheme="minorEastAsia" w:cstheme="minorEastAsia"/>
                <w:snapToGrid w:val="0"/>
                <w:color w:val="000000"/>
                <w:spacing w:val="7"/>
                <w:lang w:eastAsia="en-US"/>
              </w:rPr>
              <w:t>增值税计算与申报</w:t>
            </w:r>
            <w:r>
              <w:rPr>
                <w:rFonts w:hint="eastAsia" w:asciiTheme="minorEastAsia" w:hAnsiTheme="minorEastAsia" w:cstheme="minorEastAsia"/>
                <w:snapToGrid w:val="0"/>
                <w:color w:val="000000"/>
                <w:spacing w:val="7"/>
                <w:lang w:eastAsia="en-US"/>
              </w:rPr>
              <w:t>-</w:t>
            </w:r>
            <w:r>
              <w:rPr>
                <w:rFonts w:asciiTheme="minorEastAsia" w:hAnsiTheme="minorEastAsia" w:cstheme="minorEastAsia"/>
                <w:snapToGrid w:val="0"/>
                <w:color w:val="000000"/>
                <w:spacing w:val="7"/>
                <w:lang w:eastAsia="en-US"/>
              </w:rPr>
              <w:t>增值税计算</w:t>
            </w:r>
            <w:r>
              <w:rPr>
                <w:rFonts w:hint="eastAsia" w:asciiTheme="minorEastAsia" w:hAnsiTheme="minorEastAsia" w:cstheme="minorEastAsia"/>
                <w:snapToGrid w:val="0"/>
                <w:color w:val="000000"/>
                <w:spacing w:val="7"/>
                <w:lang w:eastAsia="en-US"/>
              </w:rPr>
              <w:t>（小规模纳税人）</w:t>
            </w:r>
          </w:p>
        </w:tc>
        <w:tc>
          <w:tcPr>
            <w:tcW w:w="1980" w:type="dxa"/>
            <w:tcMar>
              <w:top w:w="0" w:type="dxa"/>
              <w:left w:w="108" w:type="dxa"/>
              <w:bottom w:w="0" w:type="dxa"/>
              <w:right w:w="108" w:type="dxa"/>
            </w:tcMar>
            <w:vAlign w:val="center"/>
          </w:tcPr>
          <w:p w14:paraId="2F9F7EE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006217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0CCA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32CB7F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4F6981EF">
            <w:pPr>
              <w:spacing w:line="360" w:lineRule="exact"/>
              <w:rPr>
                <w:rFonts w:asciiTheme="minorEastAsia" w:hAnsiTheme="minorEastAsia" w:cstheme="minorEastAsia"/>
                <w:snapToGrid w:val="0"/>
                <w:color w:val="000000"/>
                <w:spacing w:val="7"/>
                <w:lang w:eastAsia="en-US"/>
              </w:rPr>
            </w:pPr>
            <w:r>
              <w:rPr>
                <w:rFonts w:asciiTheme="minorEastAsia" w:hAnsiTheme="minorEastAsia" w:cstheme="minorEastAsia"/>
                <w:snapToGrid w:val="0"/>
                <w:color w:val="000000"/>
                <w:spacing w:val="7"/>
                <w:lang w:eastAsia="en-US"/>
              </w:rPr>
              <w:t>增值税计算与申报</w:t>
            </w:r>
            <w:r>
              <w:rPr>
                <w:rFonts w:hint="eastAsia" w:asciiTheme="minorEastAsia" w:hAnsiTheme="minorEastAsia" w:cstheme="minorEastAsia"/>
                <w:snapToGrid w:val="0"/>
                <w:color w:val="000000"/>
                <w:spacing w:val="7"/>
                <w:lang w:eastAsia="en-US"/>
              </w:rPr>
              <w:t>-</w:t>
            </w:r>
            <w:r>
              <w:rPr>
                <w:rFonts w:asciiTheme="minorEastAsia" w:hAnsiTheme="minorEastAsia" w:cstheme="minorEastAsia"/>
                <w:snapToGrid w:val="0"/>
                <w:color w:val="000000"/>
                <w:spacing w:val="7"/>
                <w:lang w:eastAsia="en-US"/>
              </w:rPr>
              <w:t>增值税</w:t>
            </w:r>
            <w:r>
              <w:rPr>
                <w:rFonts w:hint="eastAsia" w:asciiTheme="minorEastAsia" w:hAnsiTheme="minorEastAsia" w:cstheme="minorEastAsia"/>
                <w:snapToGrid w:val="0"/>
                <w:color w:val="000000"/>
                <w:spacing w:val="7"/>
                <w:lang w:eastAsia="en-US"/>
              </w:rPr>
              <w:t>申报</w:t>
            </w:r>
          </w:p>
        </w:tc>
        <w:tc>
          <w:tcPr>
            <w:tcW w:w="1980" w:type="dxa"/>
            <w:tcMar>
              <w:top w:w="0" w:type="dxa"/>
              <w:left w:w="108" w:type="dxa"/>
              <w:bottom w:w="0" w:type="dxa"/>
              <w:right w:w="108" w:type="dxa"/>
            </w:tcMar>
            <w:vAlign w:val="center"/>
          </w:tcPr>
          <w:p w14:paraId="424F9DAE">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2CBB2504">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005CE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791B03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2ECB8D6D">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增值税发票的使用与管理</w:t>
            </w:r>
          </w:p>
        </w:tc>
        <w:tc>
          <w:tcPr>
            <w:tcW w:w="1980" w:type="dxa"/>
            <w:tcMar>
              <w:top w:w="0" w:type="dxa"/>
              <w:left w:w="108" w:type="dxa"/>
              <w:bottom w:w="0" w:type="dxa"/>
              <w:right w:w="108" w:type="dxa"/>
            </w:tcMar>
            <w:vAlign w:val="center"/>
          </w:tcPr>
          <w:p w14:paraId="7DE41F8B">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6CFAD1B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0B9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40109E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1FEE0D10">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消费税计算与申报</w:t>
            </w:r>
          </w:p>
        </w:tc>
        <w:tc>
          <w:tcPr>
            <w:tcW w:w="1980" w:type="dxa"/>
            <w:tcMar>
              <w:top w:w="0" w:type="dxa"/>
              <w:left w:w="108" w:type="dxa"/>
              <w:bottom w:w="0" w:type="dxa"/>
              <w:right w:w="108" w:type="dxa"/>
            </w:tcMar>
            <w:vAlign w:val="center"/>
          </w:tcPr>
          <w:p w14:paraId="4BD4F17B">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33E8CEE">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269DE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5740F4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4CA9BD9D">
            <w:pPr>
              <w:pStyle w:val="178"/>
              <w:spacing w:line="360" w:lineRule="exact"/>
              <w:rPr>
                <w:rFonts w:eastAsia="宋体" w:asciiTheme="minorEastAsia" w:hAnsiTheme="minorEastAsia" w:cstheme="minorEastAsia"/>
                <w:spacing w:val="7"/>
                <w:lang w:eastAsia="en-US"/>
              </w:rPr>
            </w:pPr>
            <w:r>
              <w:rPr>
                <w:rFonts w:hint="eastAsia" w:ascii="仿宋_GB2312" w:hAnsi="宋体"/>
                <w:lang w:eastAsia="en-US"/>
              </w:rPr>
              <w:t>企业所得税计算与申报</w:t>
            </w:r>
            <w:r>
              <w:rPr>
                <w:rFonts w:hint="eastAsia" w:ascii="仿宋_GB2312" w:hAnsi="宋体" w:eastAsia="宋体"/>
                <w:lang w:eastAsia="en-US"/>
              </w:rPr>
              <w:t>-计算（应纳税所得额）</w:t>
            </w:r>
          </w:p>
        </w:tc>
        <w:tc>
          <w:tcPr>
            <w:tcW w:w="1980" w:type="dxa"/>
            <w:tcMar>
              <w:top w:w="0" w:type="dxa"/>
              <w:left w:w="108" w:type="dxa"/>
              <w:bottom w:w="0" w:type="dxa"/>
              <w:right w:w="108" w:type="dxa"/>
            </w:tcMar>
            <w:vAlign w:val="center"/>
          </w:tcPr>
          <w:p w14:paraId="0B9D13E0">
            <w:pPr>
              <w:pStyle w:val="178"/>
              <w:spacing w:line="360" w:lineRule="exact"/>
              <w:jc w:val="center"/>
              <w:rPr>
                <w:rFonts w:asciiTheme="minorEastAsia" w:hAnsiTheme="minorEastAsia" w:eastAsiaTheme="minorEastAsia" w:cstheme="minorEastAsia"/>
                <w:snapToGrid w:val="0"/>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53CB47D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2D658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EEAF54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627C6C7B">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企业所得税计算与申报</w:t>
            </w:r>
            <w:r>
              <w:rPr>
                <w:rFonts w:hint="eastAsia" w:ascii="仿宋_GB2312" w:hAnsi="宋体" w:eastAsia="宋体"/>
                <w:lang w:eastAsia="en-US"/>
              </w:rPr>
              <w:t>-计算（应纳税额）</w:t>
            </w:r>
          </w:p>
        </w:tc>
        <w:tc>
          <w:tcPr>
            <w:tcW w:w="1980" w:type="dxa"/>
            <w:tcMar>
              <w:top w:w="0" w:type="dxa"/>
              <w:left w:w="108" w:type="dxa"/>
              <w:bottom w:w="0" w:type="dxa"/>
              <w:right w:w="108" w:type="dxa"/>
            </w:tcMar>
            <w:vAlign w:val="center"/>
          </w:tcPr>
          <w:p w14:paraId="69733936">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6B91E6F3">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58928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22C0B6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0C56841E">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期中考试复习</w:t>
            </w:r>
          </w:p>
        </w:tc>
        <w:tc>
          <w:tcPr>
            <w:tcW w:w="1980" w:type="dxa"/>
            <w:tcMar>
              <w:top w:w="0" w:type="dxa"/>
              <w:left w:w="108" w:type="dxa"/>
              <w:bottom w:w="0" w:type="dxa"/>
              <w:right w:w="108" w:type="dxa"/>
            </w:tcMar>
            <w:vAlign w:val="center"/>
          </w:tcPr>
          <w:p w14:paraId="67172C1A">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85F6DC0">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61278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35AB22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47994436">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企业所得税计算与申报-计算（境外税款的抵扣）</w:t>
            </w:r>
          </w:p>
        </w:tc>
        <w:tc>
          <w:tcPr>
            <w:tcW w:w="1980" w:type="dxa"/>
            <w:tcMar>
              <w:top w:w="0" w:type="dxa"/>
              <w:left w:w="108" w:type="dxa"/>
              <w:bottom w:w="0" w:type="dxa"/>
              <w:right w:w="108" w:type="dxa"/>
            </w:tcMar>
            <w:vAlign w:val="center"/>
          </w:tcPr>
          <w:p w14:paraId="12CC08A7">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BBDCCE5">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0123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AE2AE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295E0723">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企业所得税计算与申报-申报</w:t>
            </w:r>
          </w:p>
        </w:tc>
        <w:tc>
          <w:tcPr>
            <w:tcW w:w="1980" w:type="dxa"/>
            <w:tcMar>
              <w:top w:w="0" w:type="dxa"/>
              <w:left w:w="108" w:type="dxa"/>
              <w:bottom w:w="0" w:type="dxa"/>
              <w:right w:w="108" w:type="dxa"/>
            </w:tcMar>
            <w:vAlign w:val="center"/>
          </w:tcPr>
          <w:p w14:paraId="7D826D90">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5788E12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125F9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3D488B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1DF44A2C">
            <w:pPr>
              <w:pStyle w:val="178"/>
              <w:spacing w:line="360" w:lineRule="exact"/>
              <w:rPr>
                <w:rFonts w:eastAsia="宋体" w:asciiTheme="minorEastAsia" w:hAnsiTheme="minorEastAsia" w:cstheme="minorEastAsia"/>
                <w:spacing w:val="7"/>
                <w:lang w:eastAsia="en-US"/>
              </w:rPr>
            </w:pPr>
            <w:r>
              <w:rPr>
                <w:rFonts w:hint="eastAsia" w:ascii="仿宋_GB2312" w:hAnsi="宋体"/>
                <w:lang w:eastAsia="en-US"/>
              </w:rPr>
              <w:t>个人所得税计算与申报</w:t>
            </w:r>
            <w:r>
              <w:rPr>
                <w:rFonts w:hint="eastAsia" w:ascii="仿宋_GB2312" w:hAnsi="宋体" w:eastAsia="宋体"/>
                <w:lang w:eastAsia="en-US"/>
              </w:rPr>
              <w:t>-计算（综合所得+经营所得）</w:t>
            </w:r>
          </w:p>
        </w:tc>
        <w:tc>
          <w:tcPr>
            <w:tcW w:w="1980" w:type="dxa"/>
            <w:tcMar>
              <w:top w:w="0" w:type="dxa"/>
              <w:left w:w="108" w:type="dxa"/>
              <w:bottom w:w="0" w:type="dxa"/>
              <w:right w:w="108" w:type="dxa"/>
            </w:tcMar>
            <w:vAlign w:val="center"/>
          </w:tcPr>
          <w:p w14:paraId="3DE9B176">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6D9F17CB">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CB9F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FE0620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2C4D588A">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个人所得税计算与申报-计算（分类所得）</w:t>
            </w:r>
          </w:p>
        </w:tc>
        <w:tc>
          <w:tcPr>
            <w:tcW w:w="1980" w:type="dxa"/>
            <w:tcMar>
              <w:top w:w="0" w:type="dxa"/>
              <w:left w:w="108" w:type="dxa"/>
              <w:bottom w:w="0" w:type="dxa"/>
              <w:right w:w="108" w:type="dxa"/>
            </w:tcMar>
            <w:vAlign w:val="center"/>
          </w:tcPr>
          <w:p w14:paraId="0851E75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4CE41D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2CA5E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8105BC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0B6F3B5B">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个人所得税计算与申报-申报</w:t>
            </w:r>
          </w:p>
        </w:tc>
        <w:tc>
          <w:tcPr>
            <w:tcW w:w="1980" w:type="dxa"/>
            <w:tcMar>
              <w:top w:w="0" w:type="dxa"/>
              <w:left w:w="108" w:type="dxa"/>
              <w:bottom w:w="0" w:type="dxa"/>
              <w:right w:w="108" w:type="dxa"/>
            </w:tcMar>
            <w:vAlign w:val="center"/>
          </w:tcPr>
          <w:p w14:paraId="4087F99F">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F14CD1A">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4AE04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3B7CC6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0CDC5364">
            <w:pPr>
              <w:pStyle w:val="178"/>
              <w:spacing w:line="360" w:lineRule="exact"/>
              <w:rPr>
                <w:rFonts w:eastAsia="宋体" w:asciiTheme="minorEastAsia" w:hAnsiTheme="minorEastAsia" w:cstheme="minorEastAsia"/>
                <w:spacing w:val="7"/>
                <w:lang w:eastAsia="en-US"/>
              </w:rPr>
            </w:pPr>
            <w:r>
              <w:rPr>
                <w:rFonts w:hint="eastAsia" w:ascii="仿宋_GB2312" w:hAnsi="宋体"/>
                <w:lang w:eastAsia="en-US"/>
              </w:rPr>
              <w:t>其他税种计算与申报</w:t>
            </w:r>
            <w:r>
              <w:rPr>
                <w:rFonts w:hint="eastAsia" w:ascii="仿宋_GB2312" w:hAnsi="宋体" w:eastAsia="宋体"/>
                <w:lang w:eastAsia="en-US"/>
              </w:rPr>
              <w:t>-计算（资源税与环境保护税类）</w:t>
            </w:r>
          </w:p>
        </w:tc>
        <w:tc>
          <w:tcPr>
            <w:tcW w:w="1980" w:type="dxa"/>
            <w:tcMar>
              <w:top w:w="0" w:type="dxa"/>
              <w:left w:w="108" w:type="dxa"/>
              <w:bottom w:w="0" w:type="dxa"/>
              <w:right w:w="108" w:type="dxa"/>
            </w:tcMar>
            <w:vAlign w:val="center"/>
          </w:tcPr>
          <w:p w14:paraId="5515548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0266A021">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BAAE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F6AF47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3140C5C5">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其他税种计算与申报-计算（</w:t>
            </w:r>
            <w:r>
              <w:rPr>
                <w:rFonts w:hint="eastAsia" w:asciiTheme="minorEastAsia" w:hAnsiTheme="minorEastAsia" w:cstheme="minorEastAsia"/>
                <w:snapToGrid w:val="0"/>
                <w:color w:val="000000"/>
                <w:lang w:eastAsia="en-US"/>
              </w:rPr>
              <w:t>财产和行为税类</w:t>
            </w:r>
            <w:r>
              <w:rPr>
                <w:rFonts w:hint="eastAsia" w:ascii="仿宋_GB2312"/>
                <w:snapToGrid w:val="0"/>
                <w:color w:val="000000"/>
                <w:lang w:eastAsia="en-US"/>
              </w:rPr>
              <w:t>）</w:t>
            </w:r>
          </w:p>
        </w:tc>
        <w:tc>
          <w:tcPr>
            <w:tcW w:w="1980" w:type="dxa"/>
            <w:tcMar>
              <w:top w:w="0" w:type="dxa"/>
              <w:left w:w="108" w:type="dxa"/>
              <w:bottom w:w="0" w:type="dxa"/>
              <w:right w:w="108" w:type="dxa"/>
            </w:tcMar>
            <w:vAlign w:val="center"/>
          </w:tcPr>
          <w:p w14:paraId="16E86440">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4F2A9DE2">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37EEF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702886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53CF3533">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其他税种计算与申报-计算（</w:t>
            </w:r>
            <w:r>
              <w:rPr>
                <w:rFonts w:hint="eastAsia" w:asciiTheme="minorEastAsia" w:hAnsiTheme="minorEastAsia" w:cstheme="minorEastAsia"/>
                <w:snapToGrid w:val="0"/>
                <w:color w:val="000000"/>
                <w:lang w:eastAsia="en-US"/>
              </w:rPr>
              <w:t>特定目的税类</w:t>
            </w:r>
            <w:r>
              <w:rPr>
                <w:rFonts w:hint="eastAsia" w:ascii="仿宋_GB2312"/>
                <w:snapToGrid w:val="0"/>
                <w:color w:val="000000"/>
                <w:lang w:eastAsia="en-US"/>
              </w:rPr>
              <w:t>）</w:t>
            </w:r>
          </w:p>
        </w:tc>
        <w:tc>
          <w:tcPr>
            <w:tcW w:w="1980" w:type="dxa"/>
            <w:tcMar>
              <w:top w:w="0" w:type="dxa"/>
              <w:left w:w="108" w:type="dxa"/>
              <w:bottom w:w="0" w:type="dxa"/>
              <w:right w:w="108" w:type="dxa"/>
            </w:tcMar>
            <w:vAlign w:val="center"/>
          </w:tcPr>
          <w:p w14:paraId="5080386D">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75266D5E">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7B07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74E036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2C73EFD3">
            <w:pPr>
              <w:spacing w:line="360" w:lineRule="exact"/>
              <w:rPr>
                <w:rFonts w:asciiTheme="minorEastAsia" w:hAnsiTheme="minorEastAsia" w:cstheme="minorEastAsia"/>
                <w:snapToGrid w:val="0"/>
                <w:color w:val="000000"/>
                <w:spacing w:val="7"/>
                <w:lang w:eastAsia="en-US"/>
              </w:rPr>
            </w:pPr>
            <w:r>
              <w:rPr>
                <w:rFonts w:hint="eastAsia" w:ascii="仿宋_GB2312"/>
                <w:snapToGrid w:val="0"/>
                <w:color w:val="000000"/>
                <w:lang w:eastAsia="en-US"/>
              </w:rPr>
              <w:t>其他税种计算与申报-申报</w:t>
            </w:r>
          </w:p>
        </w:tc>
        <w:tc>
          <w:tcPr>
            <w:tcW w:w="1980" w:type="dxa"/>
            <w:tcMar>
              <w:top w:w="0" w:type="dxa"/>
              <w:left w:w="108" w:type="dxa"/>
              <w:bottom w:w="0" w:type="dxa"/>
              <w:right w:w="108" w:type="dxa"/>
            </w:tcMar>
            <w:vAlign w:val="center"/>
          </w:tcPr>
          <w:p w14:paraId="0D81D7FC">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3E9EAAB8">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r w14:paraId="2FF9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970FF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168D3BC4">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期末考试复习</w:t>
            </w:r>
          </w:p>
        </w:tc>
        <w:tc>
          <w:tcPr>
            <w:tcW w:w="1980" w:type="dxa"/>
            <w:tcMar>
              <w:top w:w="0" w:type="dxa"/>
              <w:left w:w="108" w:type="dxa"/>
              <w:bottom w:w="0" w:type="dxa"/>
              <w:right w:w="108" w:type="dxa"/>
            </w:tcMar>
            <w:vAlign w:val="center"/>
          </w:tcPr>
          <w:p w14:paraId="30E16463">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6</w:t>
            </w:r>
          </w:p>
        </w:tc>
        <w:tc>
          <w:tcPr>
            <w:tcW w:w="2182" w:type="dxa"/>
            <w:tcMar>
              <w:top w:w="0" w:type="dxa"/>
              <w:left w:w="108" w:type="dxa"/>
              <w:bottom w:w="0" w:type="dxa"/>
              <w:right w:w="108" w:type="dxa"/>
            </w:tcMar>
            <w:vAlign w:val="center"/>
          </w:tcPr>
          <w:p w14:paraId="2BF244FF">
            <w:pPr>
              <w:spacing w:line="360" w:lineRule="exact"/>
              <w:jc w:val="center"/>
              <w:rPr>
                <w:rFonts w:asciiTheme="minorEastAsia" w:hAnsiTheme="minorEastAsia" w:cstheme="minorEastAsia"/>
                <w:snapToGrid w:val="0"/>
                <w:color w:val="000000"/>
                <w:spacing w:val="7"/>
                <w:lang w:eastAsia="en-US"/>
              </w:rPr>
            </w:pPr>
            <w:r>
              <w:rPr>
                <w:rFonts w:hint="eastAsia" w:asciiTheme="minorEastAsia" w:hAnsiTheme="minorEastAsia" w:cstheme="minorEastAsia"/>
                <w:snapToGrid w:val="0"/>
                <w:color w:val="000000"/>
                <w:spacing w:val="7"/>
                <w:lang w:eastAsia="en-US"/>
              </w:rPr>
              <w:t>理论讲授</w:t>
            </w:r>
          </w:p>
        </w:tc>
      </w:tr>
    </w:tbl>
    <w:p w14:paraId="624FE0F6"/>
    <w:p w14:paraId="71E9E43A">
      <w:pPr>
        <w:rPr>
          <w:rFonts w:hint="eastAsia" w:ascii="黑体" w:hAnsi="黑体" w:eastAsia="黑体" w:cs="黑体"/>
          <w:sz w:val="30"/>
          <w:szCs w:val="30"/>
        </w:rPr>
      </w:pPr>
      <w:bookmarkStart w:id="152" w:name="_Toc13044"/>
      <w:bookmarkStart w:id="153" w:name="_Toc25068"/>
      <w:bookmarkStart w:id="154" w:name="_Toc24616"/>
      <w:r>
        <w:rPr>
          <w:rFonts w:hint="eastAsia" w:ascii="黑体" w:hAnsi="黑体" w:eastAsia="黑体" w:cs="黑体"/>
          <w:sz w:val="30"/>
          <w:szCs w:val="30"/>
        </w:rPr>
        <w:br w:type="page"/>
      </w:r>
    </w:p>
    <w:p w14:paraId="2BCEB0FB">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会计电算化课程标准</w:t>
      </w:r>
      <w:bookmarkEnd w:id="152"/>
      <w:bookmarkEnd w:id="153"/>
      <w:bookmarkEnd w:id="154"/>
    </w:p>
    <w:p w14:paraId="1BEABDB9">
      <w:pPr>
        <w:pStyle w:val="17"/>
        <w:spacing w:after="0" w:line="400" w:lineRule="exact"/>
        <w:ind w:firstLine="560" w:firstLineChars="200"/>
        <w:rPr>
          <w:rFonts w:ascii="楷体_GB2312" w:eastAsia="楷体_GB2312"/>
          <w:sz w:val="28"/>
          <w:szCs w:val="28"/>
        </w:rPr>
      </w:pPr>
    </w:p>
    <w:p w14:paraId="0EBEDBD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1DA61774">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本课程是中等职业学校会计专业的专业核心课程之一，是一门多学科交叉融合的学科，在专业素养和能力培养等方面具有非常重要的作用，在课程思政教育方面也有得天独厚的优势。</w:t>
      </w:r>
    </w:p>
    <w:p w14:paraId="13E7AAFD">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本课程是中等职业学校会计专业的专业核心课程之一，是一门多学科交叉融合的学科，在专业素养和能力培养等方面具有非常重要的作用，在课程思政教育方面也有得天独厚的优势。课程适度介绍会计电算化理论，着重介绍当今主流财务软件的操作技能；注重实用电算技能的培养，从财务系统业务流程出发，来诠释计算机方式下会计岗位的职责与权限，使学生能学会各个会计岗位的操作方法和规范，从而实现理论与实践零距离。</w:t>
      </w:r>
    </w:p>
    <w:p w14:paraId="2E7793EB">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ascii="楷体_GB2312" w:eastAsia="楷体_GB2312"/>
          <w:sz w:val="24"/>
          <w:szCs w:val="24"/>
        </w:rPr>
        <w:t>（二）课程教学目标</w:t>
      </w:r>
    </w:p>
    <w:p w14:paraId="1D522115">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sz w:val="24"/>
          <w:szCs w:val="24"/>
        </w:rPr>
        <w:t>1</w:t>
      </w:r>
      <w:r>
        <w:rPr>
          <w:sz w:val="24"/>
          <w:szCs w:val="24"/>
        </w:rPr>
        <w:t>.素质目标</w:t>
      </w:r>
    </w:p>
    <w:p w14:paraId="1DDECFA1">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（1）具有诚信的品质，吃苦耐劳的精神和一丝不苟的工作作风和职业道德；</w:t>
      </w:r>
    </w:p>
    <w:p w14:paraId="39919DAE">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（2）具有团结协助精神和良好的沟通能力；</w:t>
      </w:r>
    </w:p>
    <w:p w14:paraId="254F63DC">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（3）具有独立思考、自主学习的能力。</w:t>
      </w:r>
    </w:p>
    <w:p w14:paraId="72FB2CC3">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2.知识目标</w:t>
      </w:r>
    </w:p>
    <w:p w14:paraId="277DE1D1">
      <w:pPr>
        <w:pStyle w:val="40"/>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sz w:val="24"/>
          <w:szCs w:val="24"/>
        </w:rPr>
      </w:pPr>
      <w:r>
        <w:rPr>
          <w:rFonts w:hint="eastAsia" w:ascii="仿宋_GB2312" w:cs="仿宋_GB2312"/>
          <w:sz w:val="24"/>
          <w:szCs w:val="24"/>
        </w:rPr>
        <w:t>（1）了解会计电算化的基本内容；</w:t>
      </w:r>
    </w:p>
    <w:p w14:paraId="7172F8C5">
      <w:pPr>
        <w:pStyle w:val="40"/>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sz w:val="24"/>
          <w:szCs w:val="24"/>
        </w:rPr>
      </w:pPr>
      <w:r>
        <w:rPr>
          <w:rFonts w:hint="eastAsia" w:ascii="仿宋_GB2312" w:cs="仿宋_GB2312"/>
          <w:sz w:val="24"/>
          <w:szCs w:val="24"/>
        </w:rPr>
        <w:t>（2）熟悉单位会计电算化组织和管理的基本知识；</w:t>
      </w:r>
    </w:p>
    <w:p w14:paraId="12705D7C">
      <w:pPr>
        <w:pStyle w:val="40"/>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sz w:val="24"/>
          <w:szCs w:val="24"/>
        </w:rPr>
      </w:pPr>
      <w:r>
        <w:rPr>
          <w:rFonts w:hint="eastAsia" w:ascii="仿宋_GB2312" w:cs="仿宋_GB2312"/>
          <w:sz w:val="24"/>
          <w:szCs w:val="24"/>
        </w:rPr>
        <w:t>（3）掌握会计电算化操作流程和常用方法。</w:t>
      </w:r>
    </w:p>
    <w:p w14:paraId="3D4CD181">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3.能力目标</w:t>
      </w:r>
    </w:p>
    <w:p w14:paraId="2602B513">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（1）具有会计信息化的观念和思维方式；</w:t>
      </w:r>
    </w:p>
    <w:p w14:paraId="24E16F6D">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（2）遵守财会法规和职业道德，具有会计内部控制意识；</w:t>
      </w:r>
    </w:p>
    <w:p w14:paraId="5A6BF56B">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（3）具有团队精神和合作意识，具有一定的协调工作的能力和组织管理能力；</w:t>
      </w:r>
    </w:p>
    <w:p w14:paraId="14369BEF">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（4）能正确判断经济业务性质和内容，并准确按照会计的专门方法将各项经济业务录入财务软件处理；</w:t>
      </w:r>
    </w:p>
    <w:p w14:paraId="54D4B476">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（5）通过电子表格软件中函数和数据分析方法解决工作中的财务问题；</w:t>
      </w:r>
    </w:p>
    <w:p w14:paraId="17010C27">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（三）参考学时</w:t>
      </w:r>
    </w:p>
    <w:p w14:paraId="4E09575D">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72学时。</w:t>
      </w:r>
    </w:p>
    <w:p w14:paraId="2DA1A13D">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（四）课程学分</w:t>
      </w:r>
    </w:p>
    <w:p w14:paraId="6AF0A13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4学分。</w:t>
      </w:r>
    </w:p>
    <w:p w14:paraId="696F3809">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（五）课程内容和要求</w:t>
      </w:r>
    </w:p>
    <w:p w14:paraId="4C37BDE0">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8"/>
          <w:szCs w:val="28"/>
        </w:rPr>
      </w:pPr>
      <w:r>
        <w:rPr>
          <w:rFonts w:hint="eastAsia" w:ascii="仿宋_GB2312" w:cs="仿宋_GB2312" w:hAnsiTheme="minorHAnsi"/>
          <w:sz w:val="24"/>
          <w:szCs w:val="24"/>
        </w:rPr>
        <w:t>本课程坚持立德树人的根本要求，结合中职学生学习特点，遵循职业教育人才培养规律，落实课程思政要求，有机融入思想政治教育内容，紧密联系工作实际，突出应用性和实践性，注重学生职业能力和可持续发展能力的培养,结合中高本衔接培养需要，根据会计事务专业人才培养方案中本课程的内容与要求，合理设计如下学习单元（模块）和教学活动，并在素质、知识和能力等方面达到相应要求。</w:t>
      </w:r>
    </w:p>
    <w:tbl>
      <w:tblPr>
        <w:tblStyle w:val="42"/>
        <w:tblW w:w="8522" w:type="dxa"/>
        <w:jc w:val="center"/>
        <w:tblLayout w:type="fixed"/>
        <w:tblCellMar>
          <w:top w:w="0" w:type="dxa"/>
          <w:left w:w="10" w:type="dxa"/>
          <w:bottom w:w="0" w:type="dxa"/>
          <w:right w:w="10" w:type="dxa"/>
        </w:tblCellMar>
      </w:tblPr>
      <w:tblGrid>
        <w:gridCol w:w="813"/>
        <w:gridCol w:w="1402"/>
        <w:gridCol w:w="2973"/>
        <w:gridCol w:w="2626"/>
        <w:gridCol w:w="708"/>
      </w:tblGrid>
      <w:tr w14:paraId="3EDF20E3">
        <w:tblPrEx>
          <w:tblCellMar>
            <w:top w:w="0" w:type="dxa"/>
            <w:left w:w="10" w:type="dxa"/>
            <w:bottom w:w="0" w:type="dxa"/>
            <w:right w:w="10" w:type="dxa"/>
          </w:tblCellMar>
        </w:tblPrEx>
        <w:trPr>
          <w:trHeight w:val="70" w:hRule="atLeast"/>
          <w:tblHeader/>
          <w:jc w:val="center"/>
        </w:trPr>
        <w:tc>
          <w:tcPr>
            <w:tcW w:w="81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0" w:type="dxa"/>
              <w:left w:w="108" w:type="dxa"/>
              <w:bottom w:w="0" w:type="dxa"/>
              <w:right w:w="108" w:type="dxa"/>
            </w:tcMar>
            <w:vAlign w:val="center"/>
          </w:tcPr>
          <w:p w14:paraId="461FE0F0">
            <w:pPr>
              <w:jc w:val="center"/>
              <w:rPr>
                <w:b/>
              </w:rPr>
            </w:pPr>
            <w:bookmarkStart w:id="155" w:name="_Hlk116932673"/>
            <w:r>
              <w:rPr>
                <w:rFonts w:hint="eastAsia"/>
                <w:b/>
              </w:rPr>
              <w:t>序号</w:t>
            </w:r>
          </w:p>
        </w:tc>
        <w:tc>
          <w:tcPr>
            <w:tcW w:w="140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0" w:type="dxa"/>
              <w:left w:w="108" w:type="dxa"/>
              <w:bottom w:w="0" w:type="dxa"/>
              <w:right w:w="108" w:type="dxa"/>
            </w:tcMar>
            <w:vAlign w:val="center"/>
          </w:tcPr>
          <w:p w14:paraId="7288E509">
            <w:pPr>
              <w:jc w:val="center"/>
              <w:rPr>
                <w:b/>
              </w:rPr>
            </w:pPr>
            <w:r>
              <w:rPr>
                <w:rFonts w:hint="eastAsia"/>
                <w:b/>
              </w:rPr>
              <w:t>教学项目</w:t>
            </w:r>
          </w:p>
        </w:tc>
        <w:tc>
          <w:tcPr>
            <w:tcW w:w="297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0" w:type="dxa"/>
              <w:left w:w="108" w:type="dxa"/>
              <w:bottom w:w="0" w:type="dxa"/>
              <w:right w:w="108" w:type="dxa"/>
            </w:tcMar>
            <w:vAlign w:val="center"/>
          </w:tcPr>
          <w:p w14:paraId="68F41DE3">
            <w:pPr>
              <w:ind w:firstLine="422"/>
              <w:jc w:val="center"/>
              <w:rPr>
                <w:b/>
              </w:rPr>
            </w:pPr>
            <w:r>
              <w:rPr>
                <w:rFonts w:hint="eastAsia"/>
                <w:b/>
              </w:rPr>
              <w:t>教学内容与要求</w:t>
            </w:r>
          </w:p>
        </w:tc>
        <w:tc>
          <w:tcPr>
            <w:tcW w:w="262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0" w:type="dxa"/>
              <w:left w:w="108" w:type="dxa"/>
              <w:bottom w:w="0" w:type="dxa"/>
              <w:right w:w="108" w:type="dxa"/>
            </w:tcMar>
            <w:vAlign w:val="center"/>
          </w:tcPr>
          <w:p w14:paraId="255A32B4">
            <w:pPr>
              <w:ind w:firstLine="422"/>
              <w:jc w:val="center"/>
              <w:rPr>
                <w:b/>
              </w:rPr>
            </w:pPr>
            <w:r>
              <w:rPr>
                <w:rFonts w:hint="eastAsia"/>
                <w:b/>
              </w:rPr>
              <w:t>教学活动设计建议</w:t>
            </w:r>
          </w:p>
        </w:tc>
        <w:tc>
          <w:tcPr>
            <w:tcW w:w="70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0" w:type="dxa"/>
              <w:left w:w="108" w:type="dxa"/>
              <w:bottom w:w="0" w:type="dxa"/>
              <w:right w:w="108" w:type="dxa"/>
            </w:tcMar>
            <w:vAlign w:val="center"/>
          </w:tcPr>
          <w:p w14:paraId="73328746">
            <w:pPr>
              <w:jc w:val="center"/>
              <w:rPr>
                <w:b/>
              </w:rPr>
            </w:pPr>
            <w:r>
              <w:rPr>
                <w:rFonts w:hint="eastAsia"/>
                <w:b/>
              </w:rPr>
              <w:t>参考学时</w:t>
            </w:r>
          </w:p>
        </w:tc>
      </w:tr>
      <w:bookmarkEnd w:id="155"/>
      <w:tr w14:paraId="22C84858">
        <w:tblPrEx>
          <w:tblCellMar>
            <w:top w:w="0" w:type="dxa"/>
            <w:left w:w="10" w:type="dxa"/>
            <w:bottom w:w="0" w:type="dxa"/>
            <w:right w:w="10" w:type="dxa"/>
          </w:tblCellMar>
        </w:tblPrEx>
        <w:trPr>
          <w:trHeight w:val="1233"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7235A1">
            <w:pPr>
              <w:widowControl/>
            </w:pPr>
            <w:r>
              <w:rPr>
                <w:rFonts w:hint="eastAsia"/>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32C14F">
            <w:pPr>
              <w:widowControl/>
            </w:pPr>
            <w:r>
              <w:rPr>
                <w:rFonts w:hint="eastAsia"/>
              </w:rPr>
              <w:t>账务处理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B28BA1">
            <w:pPr>
              <w:widowControl/>
            </w:pPr>
            <w:r>
              <w:rPr>
                <w:rFonts w:hint="eastAsia"/>
              </w:rPr>
              <w:t>1.建账与财务分工；</w:t>
            </w:r>
          </w:p>
          <w:p w14:paraId="3FB9269D">
            <w:pPr>
              <w:widowControl/>
            </w:pPr>
            <w:r>
              <w:rPr>
                <w:rFonts w:hint="eastAsia"/>
              </w:rPr>
              <w:t>2.账务处理系统初始化；</w:t>
            </w:r>
          </w:p>
          <w:p w14:paraId="6DC6536C">
            <w:pPr>
              <w:widowControl/>
            </w:pPr>
            <w:r>
              <w:rPr>
                <w:rFonts w:hint="eastAsia"/>
              </w:rPr>
              <w:t>3.填制凭证；</w:t>
            </w:r>
          </w:p>
          <w:p w14:paraId="16BCCA6A">
            <w:pPr>
              <w:widowControl/>
            </w:pPr>
            <w:r>
              <w:rPr>
                <w:rFonts w:hint="eastAsia"/>
              </w:rPr>
              <w:t>4.出纳签字、审核凭证与记账；</w:t>
            </w:r>
          </w:p>
          <w:p w14:paraId="384DA859">
            <w:pPr>
              <w:widowControl/>
            </w:pPr>
            <w:r>
              <w:rPr>
                <w:rFonts w:hint="eastAsia"/>
              </w:rPr>
              <w:t>5.银行对账；</w:t>
            </w:r>
          </w:p>
          <w:p w14:paraId="7C2DACCF">
            <w:pPr>
              <w:widowControl/>
            </w:pPr>
            <w:r>
              <w:rPr>
                <w:rFonts w:hint="eastAsia"/>
              </w:rPr>
              <w:t>6.月末自动转账；</w:t>
            </w:r>
          </w:p>
          <w:p w14:paraId="3FC3CA1E">
            <w:pPr>
              <w:widowControl/>
            </w:pPr>
            <w:r>
              <w:rPr>
                <w:rFonts w:hint="eastAsia"/>
              </w:rPr>
              <w:t>7.期末对账与结账。</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193738">
            <w:pPr>
              <w:widowControl/>
            </w:pPr>
            <w:r>
              <w:rPr>
                <w:rFonts w:hint="eastAsia"/>
              </w:rPr>
              <w:t>1.提供账套信息，指导学生进行操作练习；</w:t>
            </w:r>
          </w:p>
          <w:p w14:paraId="465E90DE">
            <w:pPr>
              <w:widowControl/>
            </w:pPr>
            <w:r>
              <w:rPr>
                <w:rFonts w:hint="eastAsia"/>
              </w:rPr>
              <w:t>2.根据某企业的财务系统管理信息，建立账套并对财务工作人员进行工作分工。</w:t>
            </w:r>
          </w:p>
          <w:p w14:paraId="68EC7994">
            <w:pPr>
              <w:widowControl/>
            </w:pPr>
            <w:r>
              <w:rPr>
                <w:rFonts w:hint="eastAsia"/>
              </w:rPr>
              <w:t>培养学生的实际操作能力，使学生受到会计电算化实现增强学生使用会计软件处理经济业务的意识。</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EC22B9">
            <w:pPr>
              <w:spacing w:line="280" w:lineRule="exact"/>
              <w:jc w:val="center"/>
            </w:pPr>
            <w:r>
              <w:rPr>
                <w:rFonts w:hint="eastAsia"/>
              </w:rPr>
              <w:t>6</w:t>
            </w:r>
          </w:p>
        </w:tc>
      </w:tr>
      <w:tr w14:paraId="20D9CD47">
        <w:tblPrEx>
          <w:tblCellMar>
            <w:top w:w="0" w:type="dxa"/>
            <w:left w:w="10" w:type="dxa"/>
            <w:bottom w:w="0" w:type="dxa"/>
            <w:right w:w="10" w:type="dxa"/>
          </w:tblCellMar>
        </w:tblPrEx>
        <w:trPr>
          <w:trHeight w:val="1553"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ED492C">
            <w:pPr>
              <w:widowControl/>
            </w:pPr>
            <w:r>
              <w:rPr>
                <w:rFonts w:hint="eastAsia"/>
              </w:rPr>
              <w:t>2</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D1B7D8">
            <w:pPr>
              <w:widowControl/>
            </w:pPr>
            <w:r>
              <w:rPr>
                <w:rFonts w:hint="eastAsia"/>
              </w:rPr>
              <w:t>报表管理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924239">
            <w:pPr>
              <w:widowControl/>
            </w:pPr>
            <w:r>
              <w:rPr>
                <w:rFonts w:hint="eastAsia"/>
              </w:rPr>
              <w:t>1.报表格式设计；</w:t>
            </w:r>
          </w:p>
          <w:p w14:paraId="11D69F68">
            <w:pPr>
              <w:widowControl/>
            </w:pPr>
            <w:r>
              <w:rPr>
                <w:rFonts w:hint="eastAsia"/>
              </w:rPr>
              <w:t>2.报表公式设计；</w:t>
            </w:r>
          </w:p>
          <w:p w14:paraId="1E1E88AB">
            <w:pPr>
              <w:widowControl/>
            </w:pPr>
            <w:r>
              <w:rPr>
                <w:rFonts w:hint="eastAsia"/>
              </w:rPr>
              <w:t>3.报表数据处理；</w:t>
            </w:r>
          </w:p>
          <w:p w14:paraId="6D434F19">
            <w:pPr>
              <w:widowControl/>
            </w:pPr>
            <w:r>
              <w:rPr>
                <w:rFonts w:hint="eastAsia"/>
              </w:rPr>
              <w:t>4.表页管理。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3F96CE">
            <w:pPr>
              <w:widowControl/>
            </w:pPr>
            <w:r>
              <w:rPr>
                <w:rFonts w:hint="eastAsia"/>
              </w:rPr>
              <w:t>1.多媒体教学资料演示；</w:t>
            </w:r>
          </w:p>
          <w:p w14:paraId="65D37BE1">
            <w:pPr>
              <w:widowControl/>
            </w:pPr>
            <w:r>
              <w:rPr>
                <w:rFonts w:hint="eastAsia"/>
              </w:rPr>
              <w:t>2.提供业务要求及训练资料，进行报表的相关账务处理操作。</w:t>
            </w:r>
          </w:p>
          <w:p w14:paraId="10106EC8">
            <w:pPr>
              <w:widowControl/>
            </w:pPr>
            <w:r>
              <w:rPr>
                <w:rFonts w:hint="eastAsia"/>
              </w:rPr>
              <w:t>会计报表是会计工作中特别重要的一部分，除了学习好会计报表编制方法以外，对于未来走上社会的学生，帮助他们桶盖会计职业道德的自律思想，也是会计专业教育的一个重要方面。</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4CDB8F">
            <w:pPr>
              <w:widowControl/>
              <w:jc w:val="center"/>
            </w:pPr>
            <w:r>
              <w:rPr>
                <w:rFonts w:hint="eastAsia"/>
              </w:rPr>
              <w:t>10</w:t>
            </w:r>
          </w:p>
        </w:tc>
      </w:tr>
      <w:tr w14:paraId="2DB1F6CD">
        <w:tblPrEx>
          <w:tblCellMar>
            <w:top w:w="0" w:type="dxa"/>
            <w:left w:w="10" w:type="dxa"/>
            <w:bottom w:w="0" w:type="dxa"/>
            <w:right w:w="10" w:type="dxa"/>
          </w:tblCellMar>
        </w:tblPrEx>
        <w:trPr>
          <w:trHeight w:val="1264"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F5C971">
            <w:pPr>
              <w:widowControl/>
            </w:pPr>
            <w:r>
              <w:rPr>
                <w:rFonts w:hint="eastAsia"/>
              </w:rPr>
              <w:t>3</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E38D77">
            <w:pPr>
              <w:widowControl/>
            </w:pPr>
            <w:r>
              <w:rPr>
                <w:rFonts w:hint="eastAsia"/>
              </w:rPr>
              <w:t>薪资管理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C5A26C">
            <w:pPr>
              <w:widowControl/>
            </w:pPr>
            <w:r>
              <w:rPr>
                <w:rFonts w:hint="eastAsia"/>
              </w:rPr>
              <w:t>1.建立工资账套；</w:t>
            </w:r>
          </w:p>
          <w:p w14:paraId="0FB31F03">
            <w:pPr>
              <w:widowControl/>
            </w:pPr>
            <w:r>
              <w:rPr>
                <w:rFonts w:hint="eastAsia"/>
              </w:rPr>
              <w:t>2.薪资管理系统初始化；</w:t>
            </w:r>
          </w:p>
          <w:p w14:paraId="4B8C6E9F">
            <w:pPr>
              <w:widowControl/>
            </w:pPr>
            <w:r>
              <w:rPr>
                <w:rFonts w:hint="eastAsia"/>
              </w:rPr>
              <w:t>3.工资变动、扣缴个人所得税与工资分摊；</w:t>
            </w:r>
          </w:p>
          <w:p w14:paraId="2BB4B5FF">
            <w:pPr>
              <w:widowControl/>
            </w:pPr>
            <w:r>
              <w:rPr>
                <w:rFonts w:hint="eastAsia"/>
              </w:rPr>
              <w:t>4.薪资管理系统期末处理。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F1914E">
            <w:pPr>
              <w:widowControl/>
            </w:pPr>
            <w:r>
              <w:rPr>
                <w:rFonts w:hint="eastAsia"/>
              </w:rPr>
              <w:t>1.提供原始职工薪酬数据，根据要求进行职工薪酬系统的初始设置及相关日常业务的操作。</w:t>
            </w:r>
          </w:p>
          <w:p w14:paraId="2570344C">
            <w:pPr>
              <w:widowControl/>
            </w:pPr>
            <w:r>
              <w:rPr>
                <w:rFonts w:hint="eastAsia"/>
              </w:rPr>
              <w:t>国家减税降费，实施个税专项附加扣除，体现出国家尊重人民的权益，也反映国家治理水平的提高，进一步激励学生的爱国精神。</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399438">
            <w:pPr>
              <w:widowControl/>
              <w:jc w:val="center"/>
            </w:pPr>
            <w:r>
              <w:rPr>
                <w:rFonts w:hint="eastAsia"/>
              </w:rPr>
              <w:t>14</w:t>
            </w:r>
          </w:p>
        </w:tc>
      </w:tr>
      <w:tr w14:paraId="1CC296DF">
        <w:tblPrEx>
          <w:tblCellMar>
            <w:top w:w="0" w:type="dxa"/>
            <w:left w:w="10" w:type="dxa"/>
            <w:bottom w:w="0" w:type="dxa"/>
            <w:right w:w="10" w:type="dxa"/>
          </w:tblCellMar>
        </w:tblPrEx>
        <w:trPr>
          <w:trHeight w:val="1537"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EB46F8">
            <w:pPr>
              <w:widowControl/>
            </w:pPr>
            <w:r>
              <w:rPr>
                <w:rFonts w:hint="eastAsia"/>
              </w:rPr>
              <w:t>4</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2F41DB">
            <w:pPr>
              <w:widowControl/>
            </w:pPr>
            <w:r>
              <w:rPr>
                <w:rFonts w:hint="eastAsia"/>
              </w:rPr>
              <w:t>固定资产管理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959698">
            <w:pPr>
              <w:widowControl/>
              <w:ind w:firstLine="420"/>
            </w:pPr>
            <w:r>
              <w:rPr>
                <w:rFonts w:hint="eastAsia"/>
              </w:rPr>
              <w:t>1.建立固定资产账套；</w:t>
            </w:r>
          </w:p>
          <w:p w14:paraId="13F7777F">
            <w:pPr>
              <w:widowControl/>
            </w:pPr>
            <w:r>
              <w:rPr>
                <w:rFonts w:hint="eastAsia"/>
              </w:rPr>
              <w:t>2.固定资产管理系统初始化；</w:t>
            </w:r>
          </w:p>
          <w:p w14:paraId="617D5D55">
            <w:pPr>
              <w:widowControl/>
              <w:ind w:firstLine="420"/>
            </w:pPr>
            <w:r>
              <w:rPr>
                <w:rFonts w:hint="eastAsia"/>
              </w:rPr>
              <w:t>3.固定资产管理增加、减少与变动；</w:t>
            </w:r>
          </w:p>
          <w:p w14:paraId="20049C0B">
            <w:pPr>
              <w:widowControl/>
              <w:ind w:firstLine="420"/>
            </w:pPr>
            <w:r>
              <w:rPr>
                <w:rFonts w:hint="eastAsia"/>
              </w:rPr>
              <w:t>4.固定资产折旧；</w:t>
            </w:r>
          </w:p>
          <w:p w14:paraId="571DAF7F">
            <w:pPr>
              <w:widowControl/>
              <w:ind w:firstLine="420"/>
            </w:pPr>
            <w:r>
              <w:rPr>
                <w:rFonts w:hint="eastAsia"/>
              </w:rPr>
              <w:t>5.固定资产管理系统期末处理。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B1827A">
            <w:pPr>
              <w:widowControl/>
            </w:pPr>
            <w:r>
              <w:rPr>
                <w:rFonts w:hint="eastAsia"/>
              </w:rPr>
              <w:t>1.提供企业固定资产业务数据，根据要求进行固定资产系统的初始设置及相关日常业务的操作。</w:t>
            </w:r>
          </w:p>
          <w:p w14:paraId="5DFCACEF">
            <w:pPr>
              <w:widowControl/>
            </w:pPr>
            <w:r>
              <w:rPr>
                <w:rFonts w:hint="eastAsia"/>
              </w:rPr>
              <w:t>在会计核算过程中要保持实事求是的态度，要实事求是地进行会计核算工作，客观公正，按照真实情况记录企业实际拥有的固定资产，不虚报、不瞒报。</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68F58C">
            <w:pPr>
              <w:widowControl/>
              <w:jc w:val="center"/>
            </w:pPr>
            <w:r>
              <w:rPr>
                <w:rFonts w:hint="eastAsia"/>
              </w:rPr>
              <w:t>14</w:t>
            </w:r>
          </w:p>
        </w:tc>
      </w:tr>
      <w:tr w14:paraId="2614D352">
        <w:tblPrEx>
          <w:tblCellMar>
            <w:top w:w="0" w:type="dxa"/>
            <w:left w:w="10" w:type="dxa"/>
            <w:bottom w:w="0" w:type="dxa"/>
            <w:right w:w="10" w:type="dxa"/>
          </w:tblCellMar>
        </w:tblPrEx>
        <w:trPr>
          <w:trHeight w:val="1240"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59012D">
            <w:pPr>
              <w:widowControl/>
            </w:pPr>
            <w:r>
              <w:rPr>
                <w:rFonts w:hint="eastAsia"/>
              </w:rPr>
              <w:t>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27720E">
            <w:pPr>
              <w:widowControl/>
            </w:pPr>
            <w:r>
              <w:rPr>
                <w:rFonts w:hint="eastAsia"/>
              </w:rPr>
              <w:t>采购管理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3ED2B9">
            <w:pPr>
              <w:widowControl/>
            </w:pPr>
            <w:r>
              <w:rPr>
                <w:rFonts w:hint="eastAsia"/>
              </w:rPr>
              <w:t>1.采购管理系统初始化；</w:t>
            </w:r>
          </w:p>
          <w:p w14:paraId="7972A152">
            <w:pPr>
              <w:widowControl/>
            </w:pPr>
            <w:r>
              <w:rPr>
                <w:rFonts w:hint="eastAsia"/>
              </w:rPr>
              <w:t>2.供应商往来科目设置与期初余额录入；</w:t>
            </w:r>
          </w:p>
          <w:p w14:paraId="28268BB7">
            <w:pPr>
              <w:widowControl/>
            </w:pPr>
            <w:r>
              <w:rPr>
                <w:rFonts w:hint="eastAsia"/>
              </w:rPr>
              <w:t>3.采购业务处理；</w:t>
            </w:r>
          </w:p>
          <w:p w14:paraId="3E328F6A">
            <w:pPr>
              <w:widowControl/>
            </w:pPr>
            <w:r>
              <w:rPr>
                <w:rFonts w:hint="eastAsia"/>
              </w:rPr>
              <w:t>4.付款结算业务处理；</w:t>
            </w:r>
          </w:p>
          <w:p w14:paraId="2D2D622B">
            <w:pPr>
              <w:widowControl/>
            </w:pPr>
            <w:r>
              <w:rPr>
                <w:rFonts w:hint="eastAsia"/>
              </w:rPr>
              <w:t>5.采购管理系统期末处理。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04D9DF">
            <w:pPr>
              <w:widowControl/>
            </w:pPr>
            <w:r>
              <w:rPr>
                <w:rFonts w:hint="eastAsia"/>
              </w:rPr>
              <w:t>1.提供企业采购业务数据，根据要求进行进销存系统的初始设置及相关日常业务的操作。</w:t>
            </w:r>
          </w:p>
          <w:p w14:paraId="11DFAF34">
            <w:pPr>
              <w:widowControl/>
            </w:pPr>
            <w:r>
              <w:rPr>
                <w:rFonts w:hint="eastAsia"/>
              </w:rPr>
              <w:t>上网搜集有关应付账款相关案例，通过案例分析，让学生充分意识到企业诚信的重要性，进而教育学生树立良好的会计职业道德，坚持诚信做人，正确处理各方利益关系。</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630903">
            <w:pPr>
              <w:widowControl/>
              <w:jc w:val="center"/>
            </w:pPr>
            <w:r>
              <w:rPr>
                <w:rFonts w:hint="eastAsia"/>
              </w:rPr>
              <w:t>24</w:t>
            </w:r>
          </w:p>
        </w:tc>
      </w:tr>
      <w:tr w14:paraId="50CA83B0">
        <w:tblPrEx>
          <w:tblCellMar>
            <w:top w:w="0" w:type="dxa"/>
            <w:left w:w="10" w:type="dxa"/>
            <w:bottom w:w="0" w:type="dxa"/>
            <w:right w:w="10" w:type="dxa"/>
          </w:tblCellMar>
        </w:tblPrEx>
        <w:trPr>
          <w:trHeight w:val="70"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20F6D8">
            <w:pPr>
              <w:widowControl/>
            </w:pPr>
            <w:r>
              <w:rPr>
                <w:rFonts w:hint="eastAsia"/>
              </w:rPr>
              <w:t>6</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B9EB52">
            <w:pPr>
              <w:widowControl/>
            </w:pPr>
            <w:r>
              <w:rPr>
                <w:rFonts w:hint="eastAsia"/>
              </w:rPr>
              <w:t>销售管理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E478A1">
            <w:pPr>
              <w:widowControl/>
            </w:pPr>
            <w:r>
              <w:rPr>
                <w:rFonts w:hint="eastAsia"/>
              </w:rPr>
              <w:t>1.销售管理系统初始化；</w:t>
            </w:r>
          </w:p>
          <w:p w14:paraId="749D5EC4">
            <w:pPr>
              <w:widowControl/>
            </w:pPr>
            <w:r>
              <w:rPr>
                <w:rFonts w:hint="eastAsia"/>
              </w:rPr>
              <w:t>2.客户往来科目设置与期初余额录入；</w:t>
            </w:r>
          </w:p>
          <w:p w14:paraId="78FB1019">
            <w:pPr>
              <w:widowControl/>
            </w:pPr>
            <w:r>
              <w:rPr>
                <w:rFonts w:hint="eastAsia"/>
              </w:rPr>
              <w:t>3.销售业务处理；</w:t>
            </w:r>
          </w:p>
          <w:p w14:paraId="5E543E00">
            <w:pPr>
              <w:widowControl/>
            </w:pPr>
            <w:r>
              <w:rPr>
                <w:rFonts w:hint="eastAsia"/>
              </w:rPr>
              <w:t>4.收款结算业务处理；</w:t>
            </w:r>
          </w:p>
          <w:p w14:paraId="2E547E64">
            <w:pPr>
              <w:widowControl/>
            </w:pPr>
            <w:r>
              <w:rPr>
                <w:rFonts w:hint="eastAsia"/>
              </w:rPr>
              <w:t>5.销售管理系统期末处理。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531DD9">
            <w:pPr>
              <w:widowControl/>
            </w:pPr>
            <w:r>
              <w:rPr>
                <w:rFonts w:hint="eastAsia"/>
              </w:rPr>
              <w:t>1.提供企业销售业务数据，根据要求进行进销存系统的初始设置及相关日常业务的操作。</w:t>
            </w:r>
          </w:p>
          <w:p w14:paraId="60E3B71B">
            <w:pPr>
              <w:widowControl/>
            </w:pPr>
            <w:r>
              <w:rPr>
                <w:rFonts w:hint="eastAsia"/>
              </w:rPr>
              <w:t>通过上网收集有关应收账款案例，如赊销过大造成的企业资金链断裂的案例，让学生深刻体会企业内部控制制度的重要性。</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E5A124">
            <w:pPr>
              <w:widowControl/>
              <w:jc w:val="center"/>
            </w:pPr>
            <w:r>
              <w:rPr>
                <w:rFonts w:hint="eastAsia"/>
              </w:rPr>
              <w:t>24</w:t>
            </w:r>
          </w:p>
        </w:tc>
      </w:tr>
      <w:tr w14:paraId="2574D87C">
        <w:tblPrEx>
          <w:tblCellMar>
            <w:top w:w="0" w:type="dxa"/>
            <w:left w:w="10" w:type="dxa"/>
            <w:bottom w:w="0" w:type="dxa"/>
            <w:right w:w="10" w:type="dxa"/>
          </w:tblCellMar>
        </w:tblPrEx>
        <w:trPr>
          <w:trHeight w:val="70"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65460D">
            <w:pPr>
              <w:widowControl/>
            </w:pPr>
            <w:r>
              <w:rPr>
                <w:rFonts w:hint="eastAsia"/>
              </w:rPr>
              <w:t>7</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C74F19">
            <w:pPr>
              <w:widowControl/>
            </w:pPr>
            <w:r>
              <w:rPr>
                <w:rFonts w:hint="eastAsia"/>
              </w:rPr>
              <w:t>库存管理</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63CFF8">
            <w:pPr>
              <w:widowControl/>
            </w:pPr>
            <w:r>
              <w:rPr>
                <w:rFonts w:hint="eastAsia"/>
              </w:rPr>
              <w:t>1.库存管理系统初始化；</w:t>
            </w:r>
          </w:p>
          <w:p w14:paraId="319E426A">
            <w:pPr>
              <w:widowControl/>
            </w:pPr>
            <w:r>
              <w:rPr>
                <w:rFonts w:hint="eastAsia"/>
              </w:rPr>
              <w:t>2.存货科目与存货对方科目设置；</w:t>
            </w:r>
          </w:p>
          <w:p w14:paraId="12FA7740">
            <w:pPr>
              <w:widowControl/>
            </w:pPr>
            <w:r>
              <w:rPr>
                <w:rFonts w:hint="eastAsia"/>
              </w:rPr>
              <w:t>3.入库业务处理；</w:t>
            </w:r>
          </w:p>
          <w:p w14:paraId="027F27AD">
            <w:pPr>
              <w:widowControl/>
            </w:pPr>
            <w:r>
              <w:rPr>
                <w:rFonts w:hint="eastAsia"/>
              </w:rPr>
              <w:t>4.出库业务处理；</w:t>
            </w:r>
          </w:p>
          <w:p w14:paraId="38425EBD">
            <w:pPr>
              <w:widowControl/>
            </w:pPr>
            <w:r>
              <w:rPr>
                <w:rFonts w:hint="eastAsia"/>
              </w:rPr>
              <w:t>5.库存管理与核算系统期末处理。</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902B23">
            <w:pPr>
              <w:widowControl/>
            </w:pPr>
            <w:r>
              <w:rPr>
                <w:rFonts w:hint="eastAsia"/>
              </w:rPr>
              <w:t>1.提供企业库存业务数据，根据要求进行进销存系统的初始设置及相关日常业务的操作。</w:t>
            </w:r>
          </w:p>
          <w:p w14:paraId="28141952">
            <w:pPr>
              <w:widowControl/>
            </w:pPr>
            <w:r>
              <w:rPr>
                <w:rFonts w:hint="eastAsia"/>
              </w:rPr>
              <w:t>通过案例分析，培养学生慎独意识，耐心细致、严谨规范的职业操守。</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070693">
            <w:pPr>
              <w:widowControl/>
              <w:jc w:val="center"/>
            </w:pPr>
            <w:r>
              <w:rPr>
                <w:rFonts w:hint="eastAsia"/>
              </w:rPr>
              <w:t>6</w:t>
            </w:r>
          </w:p>
        </w:tc>
      </w:tr>
      <w:tr w14:paraId="30F9939C">
        <w:tblPrEx>
          <w:tblCellMar>
            <w:top w:w="0" w:type="dxa"/>
            <w:left w:w="10" w:type="dxa"/>
            <w:bottom w:w="0" w:type="dxa"/>
            <w:right w:w="10" w:type="dxa"/>
          </w:tblCellMar>
        </w:tblPrEx>
        <w:trPr>
          <w:trHeight w:val="70" w:hRule="atLeast"/>
          <w:jc w:val="center"/>
        </w:trPr>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5224EC">
            <w:pPr>
              <w:widowControl/>
            </w:pPr>
            <w:r>
              <w:rPr>
                <w:rFonts w:hint="eastAsia"/>
              </w:rPr>
              <w:t>8</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210745">
            <w:pPr>
              <w:widowControl/>
            </w:pPr>
            <w:r>
              <w:rPr>
                <w:rFonts w:hint="eastAsia"/>
              </w:rPr>
              <w:t>纳税申报</w:t>
            </w:r>
          </w:p>
        </w:tc>
        <w:tc>
          <w:tcPr>
            <w:tcW w:w="29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4BA45E">
            <w:pPr>
              <w:widowControl/>
            </w:pPr>
            <w:r>
              <w:rPr>
                <w:rFonts w:hint="eastAsia"/>
              </w:rPr>
              <w:t>1.增值税发票开具；</w:t>
            </w:r>
          </w:p>
          <w:p w14:paraId="570E4033">
            <w:pPr>
              <w:widowControl/>
            </w:pPr>
            <w:r>
              <w:rPr>
                <w:rFonts w:hint="eastAsia"/>
              </w:rPr>
              <w:t>2.增值税纳税申报；</w:t>
            </w:r>
          </w:p>
          <w:p w14:paraId="742ADBCE">
            <w:pPr>
              <w:widowControl/>
            </w:pPr>
            <w:r>
              <w:rPr>
                <w:rFonts w:hint="eastAsia"/>
              </w:rPr>
              <w:t>3.消费税纳税申报；</w:t>
            </w:r>
          </w:p>
          <w:p w14:paraId="0EA8E321">
            <w:pPr>
              <w:widowControl/>
            </w:pPr>
            <w:r>
              <w:rPr>
                <w:rFonts w:hint="eastAsia"/>
              </w:rPr>
              <w:t>4.城建税和教育费附加纳税申报；</w:t>
            </w:r>
          </w:p>
          <w:p w14:paraId="7B8675F5">
            <w:pPr>
              <w:widowControl/>
            </w:pPr>
            <w:r>
              <w:rPr>
                <w:rFonts w:hint="eastAsia"/>
              </w:rPr>
              <w:t>5.企业所得税纳税申报；</w:t>
            </w:r>
          </w:p>
          <w:p w14:paraId="322F41E5">
            <w:pPr>
              <w:widowControl/>
            </w:pPr>
            <w:r>
              <w:rPr>
                <w:rFonts w:hint="eastAsia"/>
              </w:rPr>
              <w:t>6.个人所得税纳税申报。</w:t>
            </w:r>
          </w:p>
        </w:tc>
        <w:tc>
          <w:tcPr>
            <w:tcW w:w="2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8BF7034">
            <w:pPr>
              <w:widowControl/>
            </w:pPr>
            <w:r>
              <w:rPr>
                <w:rFonts w:hint="eastAsia"/>
              </w:rPr>
              <w:t>1.设定工作情境，引导学生通过自主学习和小组合作；</w:t>
            </w:r>
          </w:p>
          <w:p w14:paraId="7C24F201">
            <w:pPr>
              <w:widowControl/>
            </w:pPr>
            <w:r>
              <w:rPr>
                <w:rFonts w:hint="eastAsia"/>
              </w:rPr>
              <w:t>2.税务申报模拟实训。</w:t>
            </w:r>
          </w:p>
          <w:p w14:paraId="7CE7BA9E">
            <w:pPr>
              <w:widowControl/>
            </w:pPr>
            <w:r>
              <w:t>诚信纳税是公民道德建设的重要内容之一，是“依法治国”和“以德治国”在税收工作中的集中反映，是税收合作信赖主义的基本要求，也是“健全现代市场经济的社会信用体系”的必然要求，它从道德和法律两个层面支持和规范着良好税收秩序的形成。</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0C872A">
            <w:pPr>
              <w:widowControl/>
              <w:jc w:val="center"/>
            </w:pPr>
            <w:r>
              <w:rPr>
                <w:rFonts w:hint="eastAsia"/>
              </w:rPr>
              <w:t>10</w:t>
            </w:r>
          </w:p>
        </w:tc>
      </w:tr>
    </w:tbl>
    <w:p w14:paraId="4280A0C3">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r>
        <w:rPr>
          <w:rFonts w:hint="eastAsia" w:ascii="楷体_GB2312" w:eastAsia="楷体_GB2312"/>
          <w:sz w:val="24"/>
          <w:szCs w:val="24"/>
        </w:rPr>
        <w:t>（六）实施建议</w:t>
      </w:r>
    </w:p>
    <w:p w14:paraId="430BFF91">
      <w:pPr>
        <w:pStyle w:val="17"/>
        <w:spacing w:after="0" w:line="400" w:lineRule="exact"/>
        <w:ind w:firstLine="480" w:firstLineChars="200"/>
        <w:rPr>
          <w:sz w:val="24"/>
          <w:szCs w:val="24"/>
        </w:rPr>
      </w:pPr>
      <w:r>
        <w:rPr>
          <w:rFonts w:hint="eastAsia"/>
          <w:sz w:val="24"/>
          <w:szCs w:val="24"/>
        </w:rPr>
        <w:t>1.教学方法</w:t>
      </w:r>
    </w:p>
    <w:p w14:paraId="06894B35">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49D7F42C">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77E5606F">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1A194A87">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372229C5">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0D659542">
      <w:pPr>
        <w:pStyle w:val="17"/>
        <w:spacing w:after="0" w:line="400" w:lineRule="exact"/>
        <w:ind w:firstLine="480" w:firstLineChars="200"/>
        <w:rPr>
          <w:sz w:val="24"/>
          <w:szCs w:val="24"/>
        </w:rPr>
      </w:pPr>
      <w:r>
        <w:rPr>
          <w:rFonts w:hint="eastAsia"/>
          <w:sz w:val="24"/>
          <w:szCs w:val="24"/>
        </w:rPr>
        <w:t>2.评价方法</w:t>
      </w:r>
    </w:p>
    <w:p w14:paraId="1DC3D451">
      <w:pPr>
        <w:pStyle w:val="17"/>
        <w:spacing w:line="400" w:lineRule="exact"/>
        <w:ind w:firstLine="480" w:firstLineChars="200"/>
        <w:rPr>
          <w:bCs/>
          <w:sz w:val="24"/>
          <w:szCs w:val="24"/>
        </w:rPr>
      </w:pPr>
      <w:r>
        <w:rPr>
          <w:rFonts w:hint="eastAsia"/>
          <w:bCs/>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2E3A81B3">
      <w:pPr>
        <w:pStyle w:val="17"/>
        <w:spacing w:after="0" w:line="400" w:lineRule="exact"/>
        <w:ind w:firstLine="480" w:firstLineChars="200"/>
        <w:rPr>
          <w:bCs/>
          <w:sz w:val="24"/>
          <w:szCs w:val="24"/>
        </w:rPr>
      </w:pPr>
      <w:r>
        <w:rPr>
          <w:rFonts w:hint="eastAsia"/>
          <w:bCs/>
          <w:sz w:val="24"/>
          <w:szCs w:val="24"/>
        </w:rPr>
        <w:t>课程成绩形成方式建议: 总评成绩= 平时成绩*30%+期中成绩*30%+期末成*40%。</w:t>
      </w:r>
    </w:p>
    <w:p w14:paraId="61FF25AF">
      <w:pPr>
        <w:pStyle w:val="17"/>
        <w:spacing w:after="0" w:line="400" w:lineRule="exact"/>
        <w:ind w:firstLine="480" w:firstLineChars="200"/>
        <w:rPr>
          <w:sz w:val="24"/>
          <w:szCs w:val="24"/>
        </w:rPr>
      </w:pPr>
      <w:r>
        <w:rPr>
          <w:rFonts w:hint="eastAsia"/>
          <w:sz w:val="24"/>
          <w:szCs w:val="24"/>
        </w:rPr>
        <w:t>3.教学条件</w:t>
      </w:r>
    </w:p>
    <w:p w14:paraId="075D2672">
      <w:pPr>
        <w:pStyle w:val="17"/>
        <w:spacing w:line="400" w:lineRule="exact"/>
        <w:ind w:firstLine="480" w:firstLineChars="200"/>
        <w:rPr>
          <w:bCs/>
          <w:sz w:val="24"/>
          <w:szCs w:val="24"/>
        </w:rPr>
      </w:pPr>
      <w:r>
        <w:rPr>
          <w:rFonts w:hint="eastAsia"/>
          <w:bCs/>
          <w:sz w:val="24"/>
          <w:szCs w:val="24"/>
        </w:rPr>
        <w:t>（1）校内实践教学条件要求。充分利用会计模拟实训室，为学生搭建起一个立体的教学平台，激发学生的学习兴趣，使学生学习的主动性和创造性得以调动。利用多媒体课件演示，增强学生的感性认识，以满足学生的模拟操作需求。</w:t>
      </w:r>
    </w:p>
    <w:p w14:paraId="78565863">
      <w:pPr>
        <w:pStyle w:val="17"/>
        <w:spacing w:after="0" w:line="400" w:lineRule="exact"/>
        <w:ind w:firstLine="480" w:firstLineChars="200"/>
        <w:rPr>
          <w:bCs/>
          <w:sz w:val="24"/>
          <w:szCs w:val="24"/>
          <w:highlight w:val="yellow"/>
        </w:rPr>
      </w:pPr>
      <w:r>
        <w:rPr>
          <w:rFonts w:hint="eastAsia"/>
          <w:bCs/>
          <w:sz w:val="24"/>
          <w:szCs w:val="24"/>
        </w:rPr>
        <w:t>（2）校外实习基地条件要求。在实训过程中，与相关企业合作，组织学生参观、考察企业的实际经营业务流程，加强对各类企业财务活动的了解和认识，并在实际操作过程中不断去完善和更新相关的业务内容和操作流程。</w:t>
      </w:r>
    </w:p>
    <w:p w14:paraId="5A0B0E10">
      <w:pPr>
        <w:pStyle w:val="17"/>
        <w:spacing w:after="0" w:line="400" w:lineRule="exact"/>
        <w:ind w:firstLine="480" w:firstLineChars="200"/>
        <w:rPr>
          <w:bCs/>
          <w:sz w:val="24"/>
          <w:szCs w:val="24"/>
        </w:rPr>
      </w:pPr>
      <w:r>
        <w:rPr>
          <w:rFonts w:hint="eastAsia"/>
          <w:bCs/>
          <w:sz w:val="24"/>
          <w:szCs w:val="24"/>
        </w:rPr>
        <w:t>4.教材编选</w:t>
      </w:r>
    </w:p>
    <w:p w14:paraId="3DC07252">
      <w:pPr>
        <w:pStyle w:val="17"/>
        <w:spacing w:line="400" w:lineRule="exact"/>
        <w:ind w:firstLine="480" w:firstLineChars="200"/>
        <w:rPr>
          <w:bCs/>
          <w:sz w:val="24"/>
          <w:szCs w:val="24"/>
        </w:rPr>
      </w:pPr>
      <w:r>
        <w:rPr>
          <w:rFonts w:hint="eastAsia"/>
          <w:bCs/>
          <w:sz w:val="24"/>
          <w:szCs w:val="24"/>
        </w:rPr>
        <w:t>教材应依据本课程标准编写。教材应充分体现任务引领、实践导向的课程设计思想，结合会计职业资格证考试要求，合理安排教材内容。</w:t>
      </w:r>
    </w:p>
    <w:p w14:paraId="349987CE">
      <w:pPr>
        <w:pStyle w:val="17"/>
        <w:spacing w:line="400" w:lineRule="exact"/>
        <w:ind w:firstLine="480" w:firstLineChars="200"/>
        <w:rPr>
          <w:bCs/>
          <w:sz w:val="24"/>
          <w:szCs w:val="24"/>
        </w:rPr>
      </w:pPr>
      <w:r>
        <w:rPr>
          <w:rFonts w:hint="eastAsia"/>
          <w:bCs/>
          <w:sz w:val="24"/>
          <w:szCs w:val="24"/>
        </w:rPr>
        <w:t>教材内容以会计工作过程中的典型活动项目来驱动，注重其可操作性和实践性，建议通过专用软件、多媒体演示、实际训练、情境模拟等多种手段,采用平行方式来组织编写，使学生在各种活动中具备会计操作基本技能。</w:t>
      </w:r>
    </w:p>
    <w:p w14:paraId="7CA21062">
      <w:pPr>
        <w:pStyle w:val="17"/>
        <w:spacing w:after="0" w:line="400" w:lineRule="exact"/>
        <w:ind w:firstLine="480" w:firstLineChars="200"/>
        <w:rPr>
          <w:bCs/>
          <w:sz w:val="24"/>
          <w:szCs w:val="24"/>
        </w:rPr>
      </w:pPr>
      <w:r>
        <w:rPr>
          <w:rFonts w:hint="eastAsia"/>
          <w:bCs/>
          <w:sz w:val="24"/>
          <w:szCs w:val="24"/>
        </w:rPr>
        <w:t>教材编写应突出以学生为本，注重技能训练环节的设计和训练方法的说明，文字表述要深入浅出，内容展现要图文并茂，重在提高学生学习的积极性和主动性。</w:t>
      </w:r>
    </w:p>
    <w:p w14:paraId="2811258B">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42"/>
        <w:tblW w:w="5023" w:type="pct"/>
        <w:tblInd w:w="0" w:type="dxa"/>
        <w:tblLayout w:type="autofit"/>
        <w:tblCellMar>
          <w:top w:w="0" w:type="dxa"/>
          <w:left w:w="108" w:type="dxa"/>
          <w:bottom w:w="0" w:type="dxa"/>
          <w:right w:w="108" w:type="dxa"/>
        </w:tblCellMar>
      </w:tblPr>
      <w:tblGrid>
        <w:gridCol w:w="1186"/>
        <w:gridCol w:w="5042"/>
        <w:gridCol w:w="1141"/>
        <w:gridCol w:w="1192"/>
      </w:tblGrid>
      <w:tr w14:paraId="42B6456C">
        <w:tblPrEx>
          <w:tblCellMar>
            <w:top w:w="0" w:type="dxa"/>
            <w:left w:w="108" w:type="dxa"/>
            <w:bottom w:w="0" w:type="dxa"/>
            <w:right w:w="108" w:type="dxa"/>
          </w:tblCellMar>
        </w:tblPrEx>
        <w:trPr>
          <w:trHeight w:val="420" w:hRule="atLeast"/>
          <w:tblHeader/>
        </w:trPr>
        <w:tc>
          <w:tcPr>
            <w:tcW w:w="693" w:type="pct"/>
            <w:tcBorders>
              <w:top w:val="single" w:color="auto" w:sz="4" w:space="0"/>
              <w:left w:val="single" w:color="auto" w:sz="4" w:space="0"/>
              <w:bottom w:val="single" w:color="auto" w:sz="4" w:space="0"/>
              <w:right w:val="single" w:color="auto" w:sz="4" w:space="0"/>
            </w:tcBorders>
            <w:shd w:val="clear" w:color="000000" w:fill="BFBFBF"/>
            <w:vAlign w:val="center"/>
          </w:tcPr>
          <w:p w14:paraId="3B1952E4">
            <w:pPr>
              <w:widowControl/>
              <w:jc w:val="center"/>
              <w:rPr>
                <w:b/>
                <w:bCs/>
                <w:color w:val="000000"/>
              </w:rPr>
            </w:pPr>
            <w:r>
              <w:rPr>
                <w:rFonts w:hint="eastAsia"/>
                <w:b/>
                <w:bCs/>
                <w:color w:val="000000"/>
              </w:rPr>
              <w:t>周次</w:t>
            </w:r>
          </w:p>
        </w:tc>
        <w:tc>
          <w:tcPr>
            <w:tcW w:w="2944" w:type="pct"/>
            <w:tcBorders>
              <w:top w:val="single" w:color="auto" w:sz="4" w:space="0"/>
              <w:left w:val="nil"/>
              <w:bottom w:val="single" w:color="auto" w:sz="4" w:space="0"/>
              <w:right w:val="single" w:color="auto" w:sz="4" w:space="0"/>
            </w:tcBorders>
            <w:shd w:val="clear" w:color="000000" w:fill="BFBFBF"/>
            <w:vAlign w:val="center"/>
          </w:tcPr>
          <w:p w14:paraId="546619EF">
            <w:pPr>
              <w:widowControl/>
              <w:ind w:firstLine="422"/>
              <w:jc w:val="center"/>
              <w:rPr>
                <w:b/>
                <w:bCs/>
                <w:color w:val="000000"/>
              </w:rPr>
            </w:pPr>
            <w:r>
              <w:rPr>
                <w:rFonts w:hint="eastAsia"/>
                <w:b/>
                <w:bCs/>
                <w:color w:val="000000"/>
              </w:rPr>
              <w:t>教学章节</w:t>
            </w:r>
          </w:p>
        </w:tc>
        <w:tc>
          <w:tcPr>
            <w:tcW w:w="666" w:type="pct"/>
            <w:tcBorders>
              <w:top w:val="single" w:color="auto" w:sz="4" w:space="0"/>
              <w:left w:val="nil"/>
              <w:bottom w:val="single" w:color="auto" w:sz="4" w:space="0"/>
              <w:right w:val="single" w:color="auto" w:sz="4" w:space="0"/>
            </w:tcBorders>
            <w:shd w:val="clear" w:color="000000" w:fill="BFBFBF"/>
            <w:vAlign w:val="center"/>
          </w:tcPr>
          <w:p w14:paraId="111D1C23">
            <w:pPr>
              <w:widowControl/>
              <w:jc w:val="center"/>
              <w:rPr>
                <w:b/>
                <w:bCs/>
                <w:color w:val="000000"/>
              </w:rPr>
            </w:pPr>
            <w:r>
              <w:rPr>
                <w:rFonts w:hint="eastAsia"/>
                <w:b/>
                <w:bCs/>
                <w:color w:val="000000"/>
              </w:rPr>
              <w:t>授课时数（节）</w:t>
            </w:r>
          </w:p>
        </w:tc>
        <w:tc>
          <w:tcPr>
            <w:tcW w:w="696" w:type="pct"/>
            <w:tcBorders>
              <w:top w:val="single" w:color="auto" w:sz="4" w:space="0"/>
              <w:left w:val="nil"/>
              <w:bottom w:val="single" w:color="auto" w:sz="4" w:space="0"/>
              <w:right w:val="single" w:color="auto" w:sz="4" w:space="0"/>
            </w:tcBorders>
            <w:shd w:val="clear" w:color="000000" w:fill="BFBFBF"/>
            <w:vAlign w:val="center"/>
          </w:tcPr>
          <w:p w14:paraId="74757F7D">
            <w:pPr>
              <w:widowControl/>
              <w:jc w:val="center"/>
              <w:rPr>
                <w:b/>
                <w:bCs/>
                <w:color w:val="000000"/>
              </w:rPr>
            </w:pPr>
            <w:r>
              <w:rPr>
                <w:rFonts w:hint="eastAsia"/>
                <w:b/>
                <w:bCs/>
                <w:color w:val="000000"/>
              </w:rPr>
              <w:t>主要教学形式</w:t>
            </w:r>
          </w:p>
        </w:tc>
      </w:tr>
      <w:tr w14:paraId="13F6F5A4">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707F487A">
            <w:pPr>
              <w:widowControl/>
              <w:ind w:firstLine="440"/>
              <w:rPr>
                <w:color w:val="000000"/>
                <w:sz w:val="22"/>
              </w:rPr>
            </w:pPr>
            <w:r>
              <w:rPr>
                <w:rFonts w:hint="eastAsia"/>
                <w:color w:val="000000"/>
                <w:sz w:val="22"/>
              </w:rPr>
              <w:t>1</w:t>
            </w:r>
          </w:p>
        </w:tc>
        <w:tc>
          <w:tcPr>
            <w:tcW w:w="2944" w:type="pct"/>
            <w:tcBorders>
              <w:top w:val="nil"/>
              <w:left w:val="nil"/>
              <w:bottom w:val="single" w:color="auto" w:sz="4" w:space="0"/>
              <w:right w:val="single" w:color="auto" w:sz="4" w:space="0"/>
            </w:tcBorders>
            <w:shd w:val="clear" w:color="auto" w:fill="auto"/>
            <w:vAlign w:val="center"/>
          </w:tcPr>
          <w:p w14:paraId="181CDC89">
            <w:pPr>
              <w:widowControl/>
              <w:ind w:firstLine="440"/>
              <w:jc w:val="center"/>
              <w:rPr>
                <w:color w:val="000000"/>
                <w:sz w:val="22"/>
              </w:rPr>
            </w:pPr>
            <w:r>
              <w:rPr>
                <w:rFonts w:hint="eastAsia"/>
                <w:color w:val="000000"/>
                <w:sz w:val="22"/>
              </w:rPr>
              <w:t>账务处理</w:t>
            </w:r>
          </w:p>
        </w:tc>
        <w:tc>
          <w:tcPr>
            <w:tcW w:w="666" w:type="pct"/>
            <w:tcBorders>
              <w:top w:val="nil"/>
              <w:left w:val="nil"/>
              <w:bottom w:val="single" w:color="auto" w:sz="4" w:space="0"/>
              <w:right w:val="single" w:color="auto" w:sz="4" w:space="0"/>
            </w:tcBorders>
            <w:shd w:val="clear" w:color="auto" w:fill="auto"/>
            <w:vAlign w:val="center"/>
          </w:tcPr>
          <w:p w14:paraId="54C75D7A">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614BD576">
            <w:pPr>
              <w:widowControl/>
              <w:ind w:firstLine="440"/>
              <w:jc w:val="center"/>
              <w:rPr>
                <w:color w:val="000000"/>
                <w:sz w:val="22"/>
              </w:rPr>
            </w:pPr>
            <w:r>
              <w:rPr>
                <w:rFonts w:hint="eastAsia"/>
                <w:color w:val="000000"/>
                <w:sz w:val="22"/>
              </w:rPr>
              <w:t>实训</w:t>
            </w:r>
          </w:p>
        </w:tc>
      </w:tr>
      <w:tr w14:paraId="2739FE08">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28955526">
            <w:pPr>
              <w:widowControl/>
              <w:ind w:firstLine="440"/>
              <w:rPr>
                <w:color w:val="000000"/>
                <w:sz w:val="22"/>
              </w:rPr>
            </w:pPr>
            <w:r>
              <w:rPr>
                <w:rFonts w:hint="eastAsia"/>
                <w:color w:val="000000"/>
                <w:sz w:val="22"/>
              </w:rPr>
              <w:t>2</w:t>
            </w:r>
          </w:p>
        </w:tc>
        <w:tc>
          <w:tcPr>
            <w:tcW w:w="2944" w:type="pct"/>
            <w:tcBorders>
              <w:top w:val="nil"/>
              <w:left w:val="nil"/>
              <w:bottom w:val="single" w:color="auto" w:sz="4" w:space="0"/>
              <w:right w:val="single" w:color="auto" w:sz="4" w:space="0"/>
            </w:tcBorders>
            <w:shd w:val="clear" w:color="auto" w:fill="auto"/>
            <w:vAlign w:val="center"/>
          </w:tcPr>
          <w:p w14:paraId="24D51405">
            <w:pPr>
              <w:widowControl/>
              <w:ind w:firstLine="440"/>
              <w:jc w:val="center"/>
              <w:rPr>
                <w:color w:val="000000"/>
                <w:sz w:val="22"/>
              </w:rPr>
            </w:pPr>
            <w:r>
              <w:rPr>
                <w:rFonts w:hint="eastAsia"/>
                <w:color w:val="000000"/>
                <w:sz w:val="22"/>
              </w:rPr>
              <w:t>应用报表模板</w:t>
            </w:r>
          </w:p>
        </w:tc>
        <w:tc>
          <w:tcPr>
            <w:tcW w:w="666" w:type="pct"/>
            <w:tcBorders>
              <w:top w:val="nil"/>
              <w:left w:val="nil"/>
              <w:bottom w:val="single" w:color="auto" w:sz="4" w:space="0"/>
              <w:right w:val="single" w:color="auto" w:sz="4" w:space="0"/>
            </w:tcBorders>
            <w:shd w:val="clear" w:color="auto" w:fill="auto"/>
            <w:vAlign w:val="center"/>
          </w:tcPr>
          <w:p w14:paraId="61515A12">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02FC00D3">
            <w:pPr>
              <w:widowControl/>
              <w:ind w:firstLine="440"/>
              <w:jc w:val="center"/>
              <w:rPr>
                <w:color w:val="000000"/>
                <w:sz w:val="22"/>
              </w:rPr>
            </w:pPr>
            <w:r>
              <w:rPr>
                <w:rFonts w:hint="eastAsia"/>
                <w:color w:val="000000"/>
                <w:sz w:val="22"/>
              </w:rPr>
              <w:t>实训</w:t>
            </w:r>
          </w:p>
        </w:tc>
      </w:tr>
      <w:tr w14:paraId="520947C6">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3E838B4E">
            <w:pPr>
              <w:widowControl/>
              <w:ind w:firstLine="440"/>
              <w:rPr>
                <w:color w:val="000000"/>
                <w:sz w:val="22"/>
              </w:rPr>
            </w:pPr>
            <w:r>
              <w:rPr>
                <w:rFonts w:hint="eastAsia"/>
                <w:color w:val="000000"/>
                <w:sz w:val="22"/>
              </w:rPr>
              <w:t>3</w:t>
            </w:r>
          </w:p>
        </w:tc>
        <w:tc>
          <w:tcPr>
            <w:tcW w:w="2944" w:type="pct"/>
            <w:tcBorders>
              <w:top w:val="nil"/>
              <w:left w:val="nil"/>
              <w:bottom w:val="single" w:color="auto" w:sz="4" w:space="0"/>
              <w:right w:val="single" w:color="auto" w:sz="4" w:space="0"/>
            </w:tcBorders>
            <w:shd w:val="clear" w:color="auto" w:fill="auto"/>
            <w:vAlign w:val="center"/>
          </w:tcPr>
          <w:p w14:paraId="367F8F14">
            <w:pPr>
              <w:widowControl/>
              <w:ind w:firstLine="440"/>
              <w:jc w:val="center"/>
              <w:rPr>
                <w:color w:val="000000"/>
                <w:sz w:val="22"/>
              </w:rPr>
            </w:pPr>
            <w:r>
              <w:rPr>
                <w:rFonts w:hint="eastAsia"/>
                <w:color w:val="000000"/>
                <w:sz w:val="22"/>
              </w:rPr>
              <w:t>编制自定义报表</w:t>
            </w:r>
          </w:p>
          <w:p w14:paraId="726F9693">
            <w:pPr>
              <w:widowControl/>
              <w:ind w:firstLine="440"/>
              <w:jc w:val="center"/>
              <w:rPr>
                <w:color w:val="000000"/>
                <w:sz w:val="22"/>
              </w:rPr>
            </w:pPr>
            <w:r>
              <w:rPr>
                <w:rFonts w:hint="eastAsia"/>
                <w:color w:val="000000"/>
                <w:sz w:val="22"/>
              </w:rPr>
              <w:t>建立工资账套</w:t>
            </w:r>
          </w:p>
        </w:tc>
        <w:tc>
          <w:tcPr>
            <w:tcW w:w="666" w:type="pct"/>
            <w:tcBorders>
              <w:top w:val="nil"/>
              <w:left w:val="nil"/>
              <w:bottom w:val="single" w:color="auto" w:sz="4" w:space="0"/>
              <w:right w:val="single" w:color="auto" w:sz="4" w:space="0"/>
            </w:tcBorders>
            <w:shd w:val="clear" w:color="auto" w:fill="auto"/>
            <w:vAlign w:val="center"/>
          </w:tcPr>
          <w:p w14:paraId="183C00D0">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6F097339">
            <w:pPr>
              <w:widowControl/>
              <w:ind w:firstLine="440"/>
              <w:jc w:val="center"/>
              <w:rPr>
                <w:color w:val="000000"/>
                <w:sz w:val="22"/>
              </w:rPr>
            </w:pPr>
            <w:r>
              <w:rPr>
                <w:rFonts w:hint="eastAsia"/>
                <w:color w:val="000000"/>
                <w:sz w:val="22"/>
              </w:rPr>
              <w:t>实训</w:t>
            </w:r>
          </w:p>
        </w:tc>
      </w:tr>
      <w:tr w14:paraId="31B5C197">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0A255ADE">
            <w:pPr>
              <w:widowControl/>
              <w:ind w:firstLine="440"/>
              <w:rPr>
                <w:color w:val="000000"/>
                <w:sz w:val="22"/>
              </w:rPr>
            </w:pPr>
            <w:r>
              <w:rPr>
                <w:rFonts w:hint="eastAsia"/>
                <w:color w:val="000000"/>
                <w:sz w:val="22"/>
              </w:rPr>
              <w:t>4</w:t>
            </w:r>
          </w:p>
        </w:tc>
        <w:tc>
          <w:tcPr>
            <w:tcW w:w="2944" w:type="pct"/>
            <w:tcBorders>
              <w:top w:val="nil"/>
              <w:left w:val="nil"/>
              <w:bottom w:val="single" w:color="auto" w:sz="4" w:space="0"/>
              <w:right w:val="single" w:color="auto" w:sz="4" w:space="0"/>
            </w:tcBorders>
            <w:shd w:val="clear" w:color="auto" w:fill="auto"/>
            <w:vAlign w:val="center"/>
          </w:tcPr>
          <w:p w14:paraId="7DB3C1ED">
            <w:pPr>
              <w:widowControl/>
              <w:ind w:firstLine="440"/>
              <w:jc w:val="center"/>
              <w:rPr>
                <w:color w:val="000000"/>
                <w:sz w:val="22"/>
              </w:rPr>
            </w:pPr>
            <w:r>
              <w:rPr>
                <w:rFonts w:hint="eastAsia"/>
                <w:color w:val="000000"/>
                <w:sz w:val="22"/>
              </w:rPr>
              <w:t>薪资管理系统初始化</w:t>
            </w:r>
          </w:p>
        </w:tc>
        <w:tc>
          <w:tcPr>
            <w:tcW w:w="666" w:type="pct"/>
            <w:tcBorders>
              <w:top w:val="nil"/>
              <w:left w:val="nil"/>
              <w:bottom w:val="single" w:color="auto" w:sz="4" w:space="0"/>
              <w:right w:val="single" w:color="auto" w:sz="4" w:space="0"/>
            </w:tcBorders>
            <w:shd w:val="clear" w:color="auto" w:fill="auto"/>
            <w:vAlign w:val="center"/>
          </w:tcPr>
          <w:p w14:paraId="7E28AE3A">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7AD4D0E4">
            <w:pPr>
              <w:widowControl/>
              <w:ind w:firstLine="440"/>
              <w:jc w:val="center"/>
              <w:rPr>
                <w:color w:val="000000"/>
                <w:sz w:val="22"/>
              </w:rPr>
            </w:pPr>
            <w:r>
              <w:rPr>
                <w:rFonts w:hint="eastAsia"/>
                <w:color w:val="000000"/>
                <w:sz w:val="22"/>
              </w:rPr>
              <w:t>实训</w:t>
            </w:r>
          </w:p>
        </w:tc>
      </w:tr>
      <w:tr w14:paraId="2B0C3F40">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3E7AE782">
            <w:pPr>
              <w:widowControl/>
              <w:ind w:firstLine="440"/>
              <w:rPr>
                <w:color w:val="000000"/>
                <w:sz w:val="22"/>
              </w:rPr>
            </w:pPr>
            <w:r>
              <w:rPr>
                <w:rFonts w:hint="eastAsia"/>
                <w:color w:val="000000"/>
                <w:sz w:val="22"/>
              </w:rPr>
              <w:t>5</w:t>
            </w:r>
          </w:p>
        </w:tc>
        <w:tc>
          <w:tcPr>
            <w:tcW w:w="2944" w:type="pct"/>
            <w:tcBorders>
              <w:top w:val="nil"/>
              <w:left w:val="nil"/>
              <w:bottom w:val="single" w:color="auto" w:sz="4" w:space="0"/>
              <w:right w:val="single" w:color="auto" w:sz="4" w:space="0"/>
            </w:tcBorders>
            <w:shd w:val="clear" w:color="auto" w:fill="auto"/>
            <w:vAlign w:val="center"/>
          </w:tcPr>
          <w:p w14:paraId="321F1696">
            <w:pPr>
              <w:widowControl/>
              <w:ind w:firstLine="440"/>
              <w:jc w:val="center"/>
              <w:rPr>
                <w:color w:val="000000"/>
                <w:sz w:val="22"/>
              </w:rPr>
            </w:pPr>
            <w:r>
              <w:rPr>
                <w:rFonts w:hint="eastAsia"/>
                <w:color w:val="000000"/>
                <w:sz w:val="22"/>
              </w:rPr>
              <w:t>应用工资系统级期末处理</w:t>
            </w:r>
          </w:p>
        </w:tc>
        <w:tc>
          <w:tcPr>
            <w:tcW w:w="666" w:type="pct"/>
            <w:tcBorders>
              <w:top w:val="nil"/>
              <w:left w:val="nil"/>
              <w:bottom w:val="single" w:color="auto" w:sz="4" w:space="0"/>
              <w:right w:val="single" w:color="auto" w:sz="4" w:space="0"/>
            </w:tcBorders>
            <w:shd w:val="clear" w:color="auto" w:fill="auto"/>
            <w:vAlign w:val="center"/>
          </w:tcPr>
          <w:p w14:paraId="6763199D">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5805E1CF">
            <w:pPr>
              <w:widowControl/>
              <w:ind w:firstLine="440"/>
              <w:jc w:val="center"/>
              <w:rPr>
                <w:color w:val="000000"/>
                <w:sz w:val="22"/>
              </w:rPr>
            </w:pPr>
            <w:r>
              <w:rPr>
                <w:rFonts w:hint="eastAsia"/>
                <w:color w:val="000000"/>
                <w:sz w:val="22"/>
              </w:rPr>
              <w:t>实训</w:t>
            </w:r>
          </w:p>
        </w:tc>
      </w:tr>
      <w:tr w14:paraId="3D70A1C7">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18FE9239">
            <w:pPr>
              <w:widowControl/>
              <w:ind w:firstLine="440"/>
              <w:rPr>
                <w:color w:val="000000"/>
                <w:sz w:val="22"/>
              </w:rPr>
            </w:pPr>
            <w:r>
              <w:rPr>
                <w:rFonts w:hint="eastAsia"/>
                <w:color w:val="000000"/>
                <w:sz w:val="22"/>
              </w:rPr>
              <w:t>6</w:t>
            </w:r>
          </w:p>
        </w:tc>
        <w:tc>
          <w:tcPr>
            <w:tcW w:w="2944" w:type="pct"/>
            <w:tcBorders>
              <w:top w:val="nil"/>
              <w:left w:val="nil"/>
              <w:bottom w:val="single" w:color="auto" w:sz="4" w:space="0"/>
              <w:right w:val="single" w:color="auto" w:sz="4" w:space="0"/>
            </w:tcBorders>
            <w:shd w:val="clear" w:color="auto" w:fill="auto"/>
            <w:vAlign w:val="center"/>
          </w:tcPr>
          <w:p w14:paraId="78D3249E">
            <w:pPr>
              <w:widowControl/>
              <w:ind w:firstLine="440"/>
              <w:jc w:val="center"/>
              <w:rPr>
                <w:color w:val="000000"/>
                <w:sz w:val="22"/>
              </w:rPr>
            </w:pPr>
            <w:r>
              <w:rPr>
                <w:rFonts w:hint="eastAsia"/>
                <w:color w:val="000000"/>
                <w:sz w:val="22"/>
              </w:rPr>
              <w:t>建立固定资产账套并初始化</w:t>
            </w:r>
          </w:p>
        </w:tc>
        <w:tc>
          <w:tcPr>
            <w:tcW w:w="666" w:type="pct"/>
            <w:tcBorders>
              <w:top w:val="nil"/>
              <w:left w:val="nil"/>
              <w:bottom w:val="single" w:color="auto" w:sz="4" w:space="0"/>
              <w:right w:val="single" w:color="auto" w:sz="4" w:space="0"/>
            </w:tcBorders>
            <w:shd w:val="clear" w:color="auto" w:fill="auto"/>
            <w:vAlign w:val="center"/>
          </w:tcPr>
          <w:p w14:paraId="50B291C5">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7900A696">
            <w:pPr>
              <w:widowControl/>
              <w:ind w:firstLine="440"/>
              <w:jc w:val="center"/>
              <w:rPr>
                <w:color w:val="000000"/>
                <w:sz w:val="22"/>
              </w:rPr>
            </w:pPr>
            <w:r>
              <w:rPr>
                <w:rFonts w:hint="eastAsia"/>
                <w:color w:val="000000"/>
                <w:sz w:val="22"/>
              </w:rPr>
              <w:t>实训</w:t>
            </w:r>
          </w:p>
        </w:tc>
      </w:tr>
      <w:tr w14:paraId="6477C69E">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3EB67709">
            <w:pPr>
              <w:widowControl/>
              <w:ind w:firstLine="440"/>
              <w:rPr>
                <w:color w:val="000000"/>
                <w:sz w:val="22"/>
              </w:rPr>
            </w:pPr>
            <w:r>
              <w:rPr>
                <w:rFonts w:hint="eastAsia"/>
                <w:color w:val="000000"/>
                <w:sz w:val="22"/>
              </w:rPr>
              <w:t>7</w:t>
            </w:r>
          </w:p>
        </w:tc>
        <w:tc>
          <w:tcPr>
            <w:tcW w:w="2944" w:type="pct"/>
            <w:tcBorders>
              <w:top w:val="nil"/>
              <w:left w:val="nil"/>
              <w:bottom w:val="single" w:color="auto" w:sz="4" w:space="0"/>
              <w:right w:val="single" w:color="auto" w:sz="4" w:space="0"/>
            </w:tcBorders>
            <w:shd w:val="clear" w:color="auto" w:fill="auto"/>
            <w:vAlign w:val="center"/>
          </w:tcPr>
          <w:p w14:paraId="5484B195">
            <w:pPr>
              <w:widowControl/>
              <w:ind w:firstLine="440"/>
              <w:jc w:val="center"/>
              <w:rPr>
                <w:color w:val="000000"/>
                <w:sz w:val="22"/>
              </w:rPr>
            </w:pPr>
            <w:r>
              <w:rPr>
                <w:rFonts w:hint="eastAsia"/>
                <w:color w:val="000000"/>
                <w:sz w:val="22"/>
              </w:rPr>
              <w:t>应用固定资产系统</w:t>
            </w:r>
          </w:p>
        </w:tc>
        <w:tc>
          <w:tcPr>
            <w:tcW w:w="666" w:type="pct"/>
            <w:tcBorders>
              <w:top w:val="nil"/>
              <w:left w:val="nil"/>
              <w:bottom w:val="single" w:color="auto" w:sz="4" w:space="0"/>
              <w:right w:val="single" w:color="auto" w:sz="4" w:space="0"/>
            </w:tcBorders>
            <w:shd w:val="clear" w:color="auto" w:fill="auto"/>
            <w:vAlign w:val="center"/>
          </w:tcPr>
          <w:p w14:paraId="18C574C6">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vAlign w:val="center"/>
          </w:tcPr>
          <w:p w14:paraId="132414EE">
            <w:pPr>
              <w:widowControl/>
              <w:ind w:firstLine="440"/>
              <w:jc w:val="center"/>
              <w:rPr>
                <w:color w:val="000000"/>
                <w:sz w:val="22"/>
              </w:rPr>
            </w:pPr>
            <w:r>
              <w:rPr>
                <w:rFonts w:hint="eastAsia"/>
                <w:color w:val="000000"/>
                <w:sz w:val="22"/>
              </w:rPr>
              <w:t>实训</w:t>
            </w:r>
          </w:p>
        </w:tc>
      </w:tr>
      <w:tr w14:paraId="2AE526F0">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0B7D9C96">
            <w:pPr>
              <w:widowControl/>
              <w:ind w:firstLine="440"/>
              <w:rPr>
                <w:color w:val="000000"/>
                <w:sz w:val="22"/>
              </w:rPr>
            </w:pPr>
            <w:r>
              <w:rPr>
                <w:rFonts w:hint="eastAsia"/>
                <w:color w:val="000000"/>
                <w:sz w:val="22"/>
              </w:rPr>
              <w:t>8</w:t>
            </w:r>
          </w:p>
        </w:tc>
        <w:tc>
          <w:tcPr>
            <w:tcW w:w="2944" w:type="pct"/>
            <w:tcBorders>
              <w:top w:val="nil"/>
              <w:left w:val="nil"/>
              <w:bottom w:val="nil"/>
              <w:right w:val="single" w:color="auto" w:sz="4" w:space="0"/>
            </w:tcBorders>
            <w:shd w:val="clear" w:color="auto" w:fill="auto"/>
            <w:vAlign w:val="center"/>
          </w:tcPr>
          <w:p w14:paraId="4E1CCEB0">
            <w:pPr>
              <w:widowControl/>
              <w:ind w:firstLine="440"/>
              <w:jc w:val="center"/>
              <w:rPr>
                <w:color w:val="000000"/>
                <w:sz w:val="22"/>
              </w:rPr>
            </w:pPr>
            <w:r>
              <w:rPr>
                <w:rFonts w:hint="eastAsia"/>
                <w:color w:val="000000"/>
                <w:sz w:val="22"/>
              </w:rPr>
              <w:t>固定资产管理系统期末处理</w:t>
            </w:r>
          </w:p>
          <w:p w14:paraId="32721D49">
            <w:pPr>
              <w:widowControl/>
              <w:ind w:firstLine="440"/>
              <w:jc w:val="center"/>
              <w:rPr>
                <w:color w:val="000000"/>
                <w:sz w:val="22"/>
              </w:rPr>
            </w:pPr>
            <w:r>
              <w:rPr>
                <w:rFonts w:hint="eastAsia"/>
                <w:color w:val="000000"/>
                <w:sz w:val="22"/>
              </w:rPr>
              <w:t>采购管理系统初始化</w:t>
            </w:r>
          </w:p>
        </w:tc>
        <w:tc>
          <w:tcPr>
            <w:tcW w:w="666" w:type="pct"/>
            <w:tcBorders>
              <w:top w:val="nil"/>
              <w:left w:val="nil"/>
              <w:bottom w:val="single" w:color="auto" w:sz="4" w:space="0"/>
              <w:right w:val="single" w:color="auto" w:sz="4" w:space="0"/>
            </w:tcBorders>
            <w:shd w:val="clear" w:color="auto" w:fill="auto"/>
            <w:vAlign w:val="center"/>
          </w:tcPr>
          <w:p w14:paraId="303DCE12">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1E8835F5">
            <w:pPr>
              <w:widowControl/>
              <w:ind w:firstLine="440"/>
              <w:jc w:val="center"/>
              <w:rPr>
                <w:color w:val="000000"/>
                <w:sz w:val="22"/>
              </w:rPr>
            </w:pPr>
            <w:r>
              <w:rPr>
                <w:rFonts w:hint="eastAsia"/>
                <w:color w:val="000000"/>
                <w:sz w:val="22"/>
              </w:rPr>
              <w:t>实训</w:t>
            </w:r>
          </w:p>
        </w:tc>
      </w:tr>
      <w:tr w14:paraId="1071E640">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2DA76CC0">
            <w:pPr>
              <w:widowControl/>
              <w:ind w:firstLine="440"/>
              <w:rPr>
                <w:color w:val="000000"/>
                <w:sz w:val="22"/>
              </w:rPr>
            </w:pPr>
            <w:r>
              <w:rPr>
                <w:rFonts w:hint="eastAsia"/>
                <w:color w:val="000000"/>
                <w:sz w:val="22"/>
              </w:rPr>
              <w:t>9</w:t>
            </w:r>
          </w:p>
        </w:tc>
        <w:tc>
          <w:tcPr>
            <w:tcW w:w="2944" w:type="pct"/>
            <w:tcBorders>
              <w:top w:val="single" w:color="auto" w:sz="4" w:space="0"/>
              <w:left w:val="nil"/>
              <w:bottom w:val="single" w:color="auto" w:sz="4" w:space="0"/>
              <w:right w:val="single" w:color="auto" w:sz="4" w:space="0"/>
            </w:tcBorders>
            <w:shd w:val="clear" w:color="auto" w:fill="auto"/>
            <w:noWrap/>
            <w:vAlign w:val="center"/>
          </w:tcPr>
          <w:p w14:paraId="5414EC2F">
            <w:pPr>
              <w:widowControl/>
              <w:ind w:firstLine="440"/>
              <w:jc w:val="center"/>
              <w:rPr>
                <w:color w:val="000000"/>
                <w:sz w:val="22"/>
              </w:rPr>
            </w:pPr>
            <w:r>
              <w:rPr>
                <w:rFonts w:hint="eastAsia"/>
                <w:color w:val="000000"/>
                <w:sz w:val="22"/>
              </w:rPr>
              <w:t>供应商往来科目设置与期初余额录入</w:t>
            </w:r>
          </w:p>
        </w:tc>
        <w:tc>
          <w:tcPr>
            <w:tcW w:w="666" w:type="pct"/>
            <w:tcBorders>
              <w:top w:val="nil"/>
              <w:left w:val="nil"/>
              <w:bottom w:val="single" w:color="auto" w:sz="4" w:space="0"/>
              <w:right w:val="single" w:color="auto" w:sz="4" w:space="0"/>
            </w:tcBorders>
            <w:shd w:val="clear" w:color="auto" w:fill="auto"/>
            <w:vAlign w:val="center"/>
          </w:tcPr>
          <w:p w14:paraId="26EF4DB3">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4D0BE541">
            <w:pPr>
              <w:widowControl/>
              <w:ind w:firstLine="440"/>
              <w:jc w:val="center"/>
              <w:rPr>
                <w:color w:val="000000"/>
                <w:sz w:val="22"/>
              </w:rPr>
            </w:pPr>
            <w:r>
              <w:rPr>
                <w:rFonts w:hint="eastAsia"/>
                <w:color w:val="000000"/>
                <w:sz w:val="22"/>
              </w:rPr>
              <w:t>实训</w:t>
            </w:r>
          </w:p>
        </w:tc>
      </w:tr>
      <w:tr w14:paraId="113E5881">
        <w:tblPrEx>
          <w:tblCellMar>
            <w:top w:w="0" w:type="dxa"/>
            <w:left w:w="108" w:type="dxa"/>
            <w:bottom w:w="0" w:type="dxa"/>
            <w:right w:w="108" w:type="dxa"/>
          </w:tblCellMar>
        </w:tblPrEx>
        <w:trPr>
          <w:trHeight w:val="32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33C16CF7">
            <w:pPr>
              <w:widowControl/>
              <w:ind w:firstLine="440"/>
              <w:rPr>
                <w:color w:val="000000"/>
                <w:sz w:val="22"/>
              </w:rPr>
            </w:pPr>
            <w:r>
              <w:rPr>
                <w:rFonts w:hint="eastAsia"/>
                <w:color w:val="000000"/>
                <w:sz w:val="22"/>
              </w:rPr>
              <w:t>10</w:t>
            </w:r>
          </w:p>
        </w:tc>
        <w:tc>
          <w:tcPr>
            <w:tcW w:w="4306" w:type="pct"/>
            <w:gridSpan w:val="3"/>
            <w:tcBorders>
              <w:top w:val="single" w:color="auto" w:sz="4" w:space="0"/>
              <w:left w:val="nil"/>
              <w:bottom w:val="single" w:color="auto" w:sz="4" w:space="0"/>
              <w:right w:val="single" w:color="000000" w:sz="4" w:space="0"/>
            </w:tcBorders>
            <w:shd w:val="clear" w:color="auto" w:fill="auto"/>
            <w:noWrap/>
            <w:vAlign w:val="center"/>
          </w:tcPr>
          <w:p w14:paraId="52E1581C">
            <w:pPr>
              <w:widowControl/>
              <w:ind w:firstLine="440"/>
              <w:jc w:val="center"/>
              <w:rPr>
                <w:color w:val="000000"/>
                <w:sz w:val="22"/>
              </w:rPr>
            </w:pPr>
            <w:r>
              <w:rPr>
                <w:rFonts w:hint="eastAsia"/>
                <w:color w:val="000000"/>
                <w:sz w:val="22"/>
              </w:rPr>
              <w:t>期中考试</w:t>
            </w:r>
          </w:p>
        </w:tc>
      </w:tr>
      <w:tr w14:paraId="20382DC3">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2667A0C0">
            <w:pPr>
              <w:widowControl/>
              <w:ind w:firstLine="440"/>
              <w:rPr>
                <w:color w:val="000000"/>
                <w:sz w:val="22"/>
              </w:rPr>
            </w:pPr>
            <w:r>
              <w:rPr>
                <w:rFonts w:hint="eastAsia"/>
                <w:color w:val="000000"/>
                <w:sz w:val="22"/>
              </w:rPr>
              <w:t>11</w:t>
            </w:r>
          </w:p>
        </w:tc>
        <w:tc>
          <w:tcPr>
            <w:tcW w:w="2944" w:type="pct"/>
            <w:tcBorders>
              <w:top w:val="nil"/>
              <w:left w:val="nil"/>
              <w:bottom w:val="single" w:color="auto" w:sz="4" w:space="0"/>
              <w:right w:val="single" w:color="auto" w:sz="4" w:space="0"/>
            </w:tcBorders>
            <w:shd w:val="clear" w:color="auto" w:fill="auto"/>
            <w:noWrap/>
            <w:vAlign w:val="center"/>
          </w:tcPr>
          <w:p w14:paraId="71D2046C">
            <w:pPr>
              <w:widowControl/>
              <w:ind w:firstLine="440"/>
              <w:jc w:val="center"/>
              <w:rPr>
                <w:color w:val="000000"/>
                <w:sz w:val="22"/>
              </w:rPr>
            </w:pPr>
            <w:r>
              <w:rPr>
                <w:rFonts w:hint="eastAsia"/>
                <w:color w:val="000000"/>
                <w:sz w:val="22"/>
              </w:rPr>
              <w:t>采购业务处理</w:t>
            </w:r>
          </w:p>
        </w:tc>
        <w:tc>
          <w:tcPr>
            <w:tcW w:w="666" w:type="pct"/>
            <w:tcBorders>
              <w:top w:val="nil"/>
              <w:left w:val="nil"/>
              <w:bottom w:val="single" w:color="auto" w:sz="4" w:space="0"/>
              <w:right w:val="single" w:color="auto" w:sz="4" w:space="0"/>
            </w:tcBorders>
            <w:shd w:val="clear" w:color="auto" w:fill="auto"/>
            <w:vAlign w:val="center"/>
          </w:tcPr>
          <w:p w14:paraId="291F268F">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58056C4C">
            <w:pPr>
              <w:widowControl/>
              <w:ind w:firstLine="440"/>
              <w:jc w:val="center"/>
              <w:rPr>
                <w:color w:val="000000"/>
                <w:sz w:val="22"/>
              </w:rPr>
            </w:pPr>
            <w:r>
              <w:rPr>
                <w:rFonts w:hint="eastAsia"/>
                <w:color w:val="000000"/>
                <w:sz w:val="22"/>
              </w:rPr>
              <w:t>实训</w:t>
            </w:r>
          </w:p>
        </w:tc>
      </w:tr>
      <w:tr w14:paraId="645D2397">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00D6DBB9">
            <w:pPr>
              <w:widowControl/>
              <w:ind w:firstLine="440"/>
              <w:rPr>
                <w:color w:val="000000"/>
                <w:sz w:val="22"/>
              </w:rPr>
            </w:pPr>
            <w:r>
              <w:rPr>
                <w:rFonts w:hint="eastAsia"/>
                <w:color w:val="000000"/>
                <w:sz w:val="22"/>
              </w:rPr>
              <w:t>12</w:t>
            </w:r>
          </w:p>
        </w:tc>
        <w:tc>
          <w:tcPr>
            <w:tcW w:w="2944" w:type="pct"/>
            <w:tcBorders>
              <w:top w:val="nil"/>
              <w:left w:val="nil"/>
              <w:bottom w:val="single" w:color="auto" w:sz="4" w:space="0"/>
              <w:right w:val="single" w:color="auto" w:sz="4" w:space="0"/>
            </w:tcBorders>
            <w:shd w:val="clear" w:color="auto" w:fill="auto"/>
            <w:noWrap/>
            <w:vAlign w:val="center"/>
          </w:tcPr>
          <w:p w14:paraId="1218F03B">
            <w:pPr>
              <w:widowControl/>
              <w:ind w:firstLine="440"/>
              <w:jc w:val="center"/>
              <w:rPr>
                <w:color w:val="000000"/>
                <w:sz w:val="22"/>
              </w:rPr>
            </w:pPr>
            <w:r>
              <w:rPr>
                <w:rFonts w:hint="eastAsia"/>
                <w:color w:val="000000"/>
                <w:sz w:val="22"/>
              </w:rPr>
              <w:t>付款结算处理及期末处理</w:t>
            </w:r>
          </w:p>
        </w:tc>
        <w:tc>
          <w:tcPr>
            <w:tcW w:w="666" w:type="pct"/>
            <w:tcBorders>
              <w:top w:val="nil"/>
              <w:left w:val="nil"/>
              <w:bottom w:val="single" w:color="auto" w:sz="4" w:space="0"/>
              <w:right w:val="single" w:color="auto" w:sz="4" w:space="0"/>
            </w:tcBorders>
            <w:shd w:val="clear" w:color="auto" w:fill="auto"/>
            <w:vAlign w:val="center"/>
          </w:tcPr>
          <w:p w14:paraId="5A354101">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0BD1A8F0">
            <w:pPr>
              <w:widowControl/>
              <w:ind w:firstLine="440"/>
              <w:jc w:val="center"/>
              <w:rPr>
                <w:color w:val="000000"/>
                <w:sz w:val="22"/>
              </w:rPr>
            </w:pPr>
            <w:r>
              <w:rPr>
                <w:rFonts w:hint="eastAsia"/>
                <w:color w:val="000000"/>
                <w:sz w:val="22"/>
              </w:rPr>
              <w:t>实训</w:t>
            </w:r>
          </w:p>
        </w:tc>
      </w:tr>
      <w:tr w14:paraId="32B4E896">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0088A5C4">
            <w:pPr>
              <w:widowControl/>
              <w:ind w:firstLine="440"/>
              <w:rPr>
                <w:color w:val="000000"/>
                <w:sz w:val="22"/>
              </w:rPr>
            </w:pPr>
            <w:r>
              <w:rPr>
                <w:rFonts w:hint="eastAsia"/>
                <w:color w:val="000000"/>
                <w:sz w:val="22"/>
              </w:rPr>
              <w:t>13</w:t>
            </w:r>
          </w:p>
        </w:tc>
        <w:tc>
          <w:tcPr>
            <w:tcW w:w="2944" w:type="pct"/>
            <w:tcBorders>
              <w:top w:val="nil"/>
              <w:left w:val="nil"/>
              <w:bottom w:val="single" w:color="auto" w:sz="4" w:space="0"/>
              <w:right w:val="single" w:color="auto" w:sz="4" w:space="0"/>
            </w:tcBorders>
            <w:shd w:val="clear" w:color="auto" w:fill="auto"/>
            <w:noWrap/>
            <w:vAlign w:val="center"/>
          </w:tcPr>
          <w:p w14:paraId="260843FA">
            <w:pPr>
              <w:widowControl/>
              <w:ind w:firstLine="440"/>
              <w:jc w:val="center"/>
              <w:rPr>
                <w:color w:val="000000"/>
                <w:sz w:val="22"/>
              </w:rPr>
            </w:pPr>
            <w:r>
              <w:rPr>
                <w:rFonts w:hint="eastAsia"/>
                <w:color w:val="000000"/>
                <w:sz w:val="22"/>
              </w:rPr>
              <w:t>销售管理系统初始化</w:t>
            </w:r>
          </w:p>
        </w:tc>
        <w:tc>
          <w:tcPr>
            <w:tcW w:w="666" w:type="pct"/>
            <w:tcBorders>
              <w:top w:val="nil"/>
              <w:left w:val="nil"/>
              <w:bottom w:val="single" w:color="auto" w:sz="4" w:space="0"/>
              <w:right w:val="single" w:color="auto" w:sz="4" w:space="0"/>
            </w:tcBorders>
            <w:shd w:val="clear" w:color="auto" w:fill="auto"/>
            <w:vAlign w:val="center"/>
          </w:tcPr>
          <w:p w14:paraId="3A1B1717">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7E741B1E">
            <w:pPr>
              <w:widowControl/>
              <w:ind w:firstLine="440"/>
              <w:jc w:val="center"/>
              <w:rPr>
                <w:color w:val="000000"/>
                <w:sz w:val="22"/>
              </w:rPr>
            </w:pPr>
            <w:r>
              <w:rPr>
                <w:rFonts w:hint="eastAsia"/>
                <w:color w:val="000000"/>
                <w:sz w:val="22"/>
              </w:rPr>
              <w:t>实训</w:t>
            </w:r>
          </w:p>
        </w:tc>
      </w:tr>
      <w:tr w14:paraId="2F7116C9">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5055FED5">
            <w:pPr>
              <w:widowControl/>
              <w:ind w:firstLine="440"/>
              <w:rPr>
                <w:color w:val="000000"/>
                <w:sz w:val="22"/>
              </w:rPr>
            </w:pPr>
            <w:r>
              <w:rPr>
                <w:rFonts w:hint="eastAsia"/>
                <w:color w:val="000000"/>
                <w:sz w:val="22"/>
              </w:rPr>
              <w:t>14</w:t>
            </w:r>
          </w:p>
        </w:tc>
        <w:tc>
          <w:tcPr>
            <w:tcW w:w="2944" w:type="pct"/>
            <w:tcBorders>
              <w:top w:val="nil"/>
              <w:left w:val="nil"/>
              <w:bottom w:val="single" w:color="auto" w:sz="4" w:space="0"/>
              <w:right w:val="single" w:color="auto" w:sz="4" w:space="0"/>
            </w:tcBorders>
            <w:shd w:val="clear" w:color="auto" w:fill="auto"/>
            <w:noWrap/>
            <w:vAlign w:val="center"/>
          </w:tcPr>
          <w:p w14:paraId="727803CB">
            <w:pPr>
              <w:widowControl/>
              <w:ind w:firstLine="440"/>
              <w:jc w:val="center"/>
              <w:rPr>
                <w:color w:val="000000"/>
                <w:sz w:val="22"/>
              </w:rPr>
            </w:pPr>
            <w:r>
              <w:rPr>
                <w:rFonts w:hint="eastAsia"/>
                <w:color w:val="000000"/>
                <w:sz w:val="22"/>
              </w:rPr>
              <w:t>客户往来科目设置与期初余额录入</w:t>
            </w:r>
          </w:p>
        </w:tc>
        <w:tc>
          <w:tcPr>
            <w:tcW w:w="666" w:type="pct"/>
            <w:tcBorders>
              <w:top w:val="nil"/>
              <w:left w:val="nil"/>
              <w:bottom w:val="single" w:color="auto" w:sz="4" w:space="0"/>
              <w:right w:val="single" w:color="auto" w:sz="4" w:space="0"/>
            </w:tcBorders>
            <w:shd w:val="clear" w:color="auto" w:fill="auto"/>
            <w:vAlign w:val="center"/>
          </w:tcPr>
          <w:p w14:paraId="455B75B5">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1C539ED6">
            <w:pPr>
              <w:widowControl/>
              <w:ind w:firstLine="440"/>
              <w:jc w:val="center"/>
              <w:rPr>
                <w:color w:val="000000"/>
                <w:sz w:val="22"/>
              </w:rPr>
            </w:pPr>
            <w:r>
              <w:rPr>
                <w:rFonts w:hint="eastAsia"/>
                <w:color w:val="000000"/>
                <w:sz w:val="22"/>
              </w:rPr>
              <w:t>实训</w:t>
            </w:r>
          </w:p>
        </w:tc>
      </w:tr>
      <w:tr w14:paraId="1A692058">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28362349">
            <w:pPr>
              <w:widowControl/>
              <w:ind w:firstLine="440"/>
              <w:rPr>
                <w:color w:val="000000"/>
                <w:sz w:val="22"/>
              </w:rPr>
            </w:pPr>
            <w:r>
              <w:rPr>
                <w:rFonts w:hint="eastAsia"/>
                <w:color w:val="000000"/>
                <w:sz w:val="22"/>
              </w:rPr>
              <w:t>15</w:t>
            </w:r>
          </w:p>
        </w:tc>
        <w:tc>
          <w:tcPr>
            <w:tcW w:w="2944" w:type="pct"/>
            <w:tcBorders>
              <w:top w:val="nil"/>
              <w:left w:val="nil"/>
              <w:bottom w:val="single" w:color="auto" w:sz="4" w:space="0"/>
              <w:right w:val="single" w:color="auto" w:sz="4" w:space="0"/>
            </w:tcBorders>
            <w:shd w:val="clear" w:color="auto" w:fill="auto"/>
            <w:noWrap/>
            <w:vAlign w:val="center"/>
          </w:tcPr>
          <w:p w14:paraId="12AEEB41">
            <w:pPr>
              <w:widowControl/>
              <w:ind w:firstLine="440"/>
              <w:jc w:val="center"/>
              <w:rPr>
                <w:color w:val="000000"/>
                <w:sz w:val="22"/>
              </w:rPr>
            </w:pPr>
            <w:r>
              <w:rPr>
                <w:rFonts w:hint="eastAsia"/>
                <w:color w:val="000000"/>
                <w:sz w:val="22"/>
              </w:rPr>
              <w:t>销售业务处理</w:t>
            </w:r>
          </w:p>
        </w:tc>
        <w:tc>
          <w:tcPr>
            <w:tcW w:w="666" w:type="pct"/>
            <w:tcBorders>
              <w:top w:val="nil"/>
              <w:left w:val="nil"/>
              <w:bottom w:val="single" w:color="auto" w:sz="4" w:space="0"/>
              <w:right w:val="single" w:color="auto" w:sz="4" w:space="0"/>
            </w:tcBorders>
            <w:shd w:val="clear" w:color="auto" w:fill="auto"/>
            <w:vAlign w:val="center"/>
          </w:tcPr>
          <w:p w14:paraId="10D8A73A">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0D750BB1">
            <w:pPr>
              <w:widowControl/>
              <w:ind w:firstLine="440"/>
              <w:jc w:val="center"/>
              <w:rPr>
                <w:color w:val="000000"/>
                <w:sz w:val="22"/>
              </w:rPr>
            </w:pPr>
            <w:r>
              <w:rPr>
                <w:rFonts w:hint="eastAsia"/>
                <w:color w:val="000000"/>
                <w:sz w:val="22"/>
              </w:rPr>
              <w:t>实训</w:t>
            </w:r>
          </w:p>
        </w:tc>
      </w:tr>
      <w:tr w14:paraId="45E0C5D9">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3747CA68">
            <w:pPr>
              <w:widowControl/>
              <w:ind w:firstLine="440"/>
              <w:rPr>
                <w:color w:val="000000"/>
                <w:sz w:val="22"/>
              </w:rPr>
            </w:pPr>
            <w:r>
              <w:rPr>
                <w:rFonts w:hint="eastAsia"/>
                <w:color w:val="000000"/>
                <w:sz w:val="22"/>
              </w:rPr>
              <w:t>16</w:t>
            </w:r>
          </w:p>
        </w:tc>
        <w:tc>
          <w:tcPr>
            <w:tcW w:w="2944" w:type="pct"/>
            <w:tcBorders>
              <w:top w:val="nil"/>
              <w:left w:val="nil"/>
              <w:bottom w:val="single" w:color="auto" w:sz="4" w:space="0"/>
              <w:right w:val="single" w:color="auto" w:sz="4" w:space="0"/>
            </w:tcBorders>
            <w:shd w:val="clear" w:color="auto" w:fill="auto"/>
            <w:noWrap/>
            <w:vAlign w:val="center"/>
          </w:tcPr>
          <w:p w14:paraId="7F6F1C45">
            <w:pPr>
              <w:widowControl/>
              <w:ind w:firstLine="440"/>
              <w:jc w:val="center"/>
              <w:rPr>
                <w:color w:val="000000"/>
                <w:sz w:val="22"/>
              </w:rPr>
            </w:pPr>
            <w:r>
              <w:rPr>
                <w:rFonts w:hint="eastAsia"/>
                <w:color w:val="000000"/>
                <w:sz w:val="22"/>
              </w:rPr>
              <w:t>收款结算业务处理及期末处理</w:t>
            </w:r>
          </w:p>
        </w:tc>
        <w:tc>
          <w:tcPr>
            <w:tcW w:w="666" w:type="pct"/>
            <w:tcBorders>
              <w:top w:val="nil"/>
              <w:left w:val="nil"/>
              <w:bottom w:val="single" w:color="auto" w:sz="4" w:space="0"/>
              <w:right w:val="single" w:color="auto" w:sz="4" w:space="0"/>
            </w:tcBorders>
            <w:shd w:val="clear" w:color="auto" w:fill="auto"/>
            <w:vAlign w:val="center"/>
          </w:tcPr>
          <w:p w14:paraId="4D363955">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6C058488">
            <w:pPr>
              <w:widowControl/>
              <w:ind w:firstLine="440"/>
              <w:jc w:val="center"/>
              <w:rPr>
                <w:color w:val="000000"/>
                <w:sz w:val="22"/>
              </w:rPr>
            </w:pPr>
            <w:r>
              <w:rPr>
                <w:rFonts w:hint="eastAsia"/>
                <w:color w:val="000000"/>
                <w:sz w:val="22"/>
              </w:rPr>
              <w:t>实训</w:t>
            </w:r>
          </w:p>
        </w:tc>
      </w:tr>
      <w:tr w14:paraId="3D0733A1">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603F2F9A">
            <w:pPr>
              <w:widowControl/>
              <w:ind w:firstLine="440"/>
              <w:rPr>
                <w:color w:val="000000"/>
                <w:sz w:val="22"/>
              </w:rPr>
            </w:pPr>
            <w:r>
              <w:rPr>
                <w:rFonts w:hint="eastAsia"/>
                <w:color w:val="000000"/>
                <w:sz w:val="22"/>
              </w:rPr>
              <w:t>17</w:t>
            </w:r>
          </w:p>
        </w:tc>
        <w:tc>
          <w:tcPr>
            <w:tcW w:w="2944" w:type="pct"/>
            <w:tcBorders>
              <w:top w:val="nil"/>
              <w:left w:val="nil"/>
              <w:bottom w:val="single" w:color="auto" w:sz="4" w:space="0"/>
              <w:right w:val="single" w:color="auto" w:sz="4" w:space="0"/>
            </w:tcBorders>
            <w:shd w:val="clear" w:color="auto" w:fill="auto"/>
            <w:noWrap/>
            <w:vAlign w:val="center"/>
          </w:tcPr>
          <w:p w14:paraId="06BACC49">
            <w:pPr>
              <w:widowControl/>
              <w:ind w:firstLine="440"/>
              <w:jc w:val="center"/>
              <w:rPr>
                <w:color w:val="000000"/>
                <w:sz w:val="22"/>
              </w:rPr>
            </w:pPr>
            <w:r>
              <w:rPr>
                <w:rFonts w:hint="eastAsia"/>
                <w:color w:val="000000"/>
                <w:sz w:val="22"/>
              </w:rPr>
              <w:t>库存管理</w:t>
            </w:r>
          </w:p>
        </w:tc>
        <w:tc>
          <w:tcPr>
            <w:tcW w:w="666" w:type="pct"/>
            <w:tcBorders>
              <w:top w:val="nil"/>
              <w:left w:val="nil"/>
              <w:bottom w:val="single" w:color="auto" w:sz="4" w:space="0"/>
              <w:right w:val="single" w:color="auto" w:sz="4" w:space="0"/>
            </w:tcBorders>
            <w:shd w:val="clear" w:color="auto" w:fill="auto"/>
            <w:vAlign w:val="center"/>
          </w:tcPr>
          <w:p w14:paraId="0BDC2586">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64D478B6">
            <w:pPr>
              <w:widowControl/>
              <w:ind w:firstLine="440"/>
              <w:jc w:val="center"/>
              <w:rPr>
                <w:color w:val="000000"/>
                <w:sz w:val="22"/>
              </w:rPr>
            </w:pPr>
            <w:r>
              <w:rPr>
                <w:rFonts w:hint="eastAsia"/>
                <w:color w:val="000000"/>
                <w:sz w:val="22"/>
              </w:rPr>
              <w:t>实训</w:t>
            </w:r>
          </w:p>
        </w:tc>
      </w:tr>
      <w:tr w14:paraId="1BD70666">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6D10C280">
            <w:pPr>
              <w:widowControl/>
              <w:ind w:firstLine="440"/>
              <w:rPr>
                <w:color w:val="000000"/>
                <w:sz w:val="22"/>
              </w:rPr>
            </w:pPr>
            <w:r>
              <w:rPr>
                <w:rFonts w:hint="eastAsia"/>
                <w:color w:val="000000"/>
                <w:sz w:val="22"/>
              </w:rPr>
              <w:t>18</w:t>
            </w:r>
          </w:p>
        </w:tc>
        <w:tc>
          <w:tcPr>
            <w:tcW w:w="2944" w:type="pct"/>
            <w:tcBorders>
              <w:top w:val="nil"/>
              <w:left w:val="nil"/>
              <w:bottom w:val="single" w:color="auto" w:sz="4" w:space="0"/>
              <w:right w:val="single" w:color="auto" w:sz="4" w:space="0"/>
            </w:tcBorders>
            <w:shd w:val="clear" w:color="auto" w:fill="auto"/>
            <w:vAlign w:val="center"/>
          </w:tcPr>
          <w:p w14:paraId="2EE13D55">
            <w:pPr>
              <w:widowControl/>
              <w:ind w:firstLine="440"/>
              <w:jc w:val="center"/>
              <w:rPr>
                <w:color w:val="000000"/>
                <w:sz w:val="22"/>
              </w:rPr>
            </w:pPr>
            <w:r>
              <w:rPr>
                <w:rFonts w:hint="eastAsia"/>
                <w:color w:val="000000"/>
                <w:sz w:val="22"/>
              </w:rPr>
              <w:t>增值税发票开具、增值税、消费税、城建税教育附加纳税申报</w:t>
            </w:r>
          </w:p>
        </w:tc>
        <w:tc>
          <w:tcPr>
            <w:tcW w:w="666" w:type="pct"/>
            <w:tcBorders>
              <w:top w:val="nil"/>
              <w:left w:val="nil"/>
              <w:bottom w:val="single" w:color="auto" w:sz="4" w:space="0"/>
              <w:right w:val="single" w:color="auto" w:sz="4" w:space="0"/>
            </w:tcBorders>
            <w:shd w:val="clear" w:color="auto" w:fill="auto"/>
            <w:vAlign w:val="center"/>
          </w:tcPr>
          <w:p w14:paraId="6C89AA46">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489ECBFC">
            <w:pPr>
              <w:widowControl/>
              <w:ind w:firstLine="440"/>
              <w:jc w:val="center"/>
              <w:rPr>
                <w:color w:val="000000"/>
                <w:sz w:val="22"/>
              </w:rPr>
            </w:pPr>
            <w:r>
              <w:rPr>
                <w:rFonts w:hint="eastAsia"/>
                <w:color w:val="000000"/>
                <w:sz w:val="22"/>
              </w:rPr>
              <w:t>实训</w:t>
            </w:r>
          </w:p>
        </w:tc>
      </w:tr>
      <w:tr w14:paraId="71CF37F5">
        <w:tblPrEx>
          <w:tblCellMar>
            <w:top w:w="0" w:type="dxa"/>
            <w:left w:w="108" w:type="dxa"/>
            <w:bottom w:w="0" w:type="dxa"/>
            <w:right w:w="108" w:type="dxa"/>
          </w:tblCellMar>
        </w:tblPrEx>
        <w:trPr>
          <w:trHeight w:val="481"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4DE986BD">
            <w:pPr>
              <w:widowControl/>
              <w:ind w:firstLine="440"/>
              <w:rPr>
                <w:color w:val="000000"/>
                <w:sz w:val="22"/>
              </w:rPr>
            </w:pPr>
            <w:r>
              <w:rPr>
                <w:rFonts w:hint="eastAsia"/>
                <w:color w:val="000000"/>
                <w:sz w:val="22"/>
              </w:rPr>
              <w:t>19</w:t>
            </w:r>
          </w:p>
        </w:tc>
        <w:tc>
          <w:tcPr>
            <w:tcW w:w="2944" w:type="pct"/>
            <w:tcBorders>
              <w:top w:val="nil"/>
              <w:left w:val="nil"/>
              <w:bottom w:val="single" w:color="auto" w:sz="4" w:space="0"/>
              <w:right w:val="single" w:color="auto" w:sz="4" w:space="0"/>
            </w:tcBorders>
            <w:shd w:val="clear" w:color="auto" w:fill="auto"/>
            <w:noWrap/>
            <w:vAlign w:val="center"/>
          </w:tcPr>
          <w:p w14:paraId="3FB50D63">
            <w:pPr>
              <w:widowControl/>
              <w:ind w:firstLine="440"/>
              <w:jc w:val="center"/>
              <w:rPr>
                <w:color w:val="000000"/>
                <w:sz w:val="22"/>
              </w:rPr>
            </w:pPr>
            <w:r>
              <w:rPr>
                <w:rFonts w:hint="eastAsia"/>
                <w:color w:val="000000"/>
                <w:sz w:val="22"/>
              </w:rPr>
              <w:t>企业所得税、个人所得税纳税申报</w:t>
            </w:r>
          </w:p>
        </w:tc>
        <w:tc>
          <w:tcPr>
            <w:tcW w:w="666" w:type="pct"/>
            <w:tcBorders>
              <w:top w:val="nil"/>
              <w:left w:val="nil"/>
              <w:bottom w:val="single" w:color="auto" w:sz="4" w:space="0"/>
              <w:right w:val="single" w:color="auto" w:sz="4" w:space="0"/>
            </w:tcBorders>
            <w:shd w:val="clear" w:color="auto" w:fill="auto"/>
            <w:vAlign w:val="center"/>
          </w:tcPr>
          <w:p w14:paraId="344FEED7">
            <w:pPr>
              <w:widowControl/>
              <w:ind w:firstLine="440"/>
              <w:jc w:val="center"/>
              <w:rPr>
                <w:color w:val="000000"/>
                <w:sz w:val="22"/>
              </w:rPr>
            </w:pPr>
            <w:r>
              <w:rPr>
                <w:rFonts w:hint="eastAsia"/>
                <w:color w:val="000000"/>
                <w:sz w:val="22"/>
              </w:rPr>
              <w:t>6</w:t>
            </w:r>
          </w:p>
        </w:tc>
        <w:tc>
          <w:tcPr>
            <w:tcW w:w="696" w:type="pct"/>
            <w:tcBorders>
              <w:top w:val="nil"/>
              <w:left w:val="nil"/>
              <w:bottom w:val="single" w:color="auto" w:sz="4" w:space="0"/>
              <w:right w:val="single" w:color="auto" w:sz="4" w:space="0"/>
            </w:tcBorders>
            <w:shd w:val="clear" w:color="auto" w:fill="auto"/>
            <w:noWrap/>
            <w:vAlign w:val="center"/>
          </w:tcPr>
          <w:p w14:paraId="63494D97">
            <w:pPr>
              <w:widowControl/>
              <w:ind w:firstLine="440"/>
              <w:jc w:val="center"/>
              <w:rPr>
                <w:color w:val="000000"/>
                <w:sz w:val="22"/>
              </w:rPr>
            </w:pPr>
            <w:r>
              <w:rPr>
                <w:rFonts w:hint="eastAsia"/>
                <w:color w:val="000000"/>
                <w:sz w:val="22"/>
              </w:rPr>
              <w:t>实训</w:t>
            </w:r>
          </w:p>
        </w:tc>
      </w:tr>
      <w:tr w14:paraId="125679D1">
        <w:tblPrEx>
          <w:tblCellMar>
            <w:top w:w="0" w:type="dxa"/>
            <w:left w:w="108" w:type="dxa"/>
            <w:bottom w:w="0" w:type="dxa"/>
            <w:right w:w="108" w:type="dxa"/>
          </w:tblCellMar>
        </w:tblPrEx>
        <w:trPr>
          <w:trHeight w:val="333" w:hRule="atLeast"/>
        </w:trPr>
        <w:tc>
          <w:tcPr>
            <w:tcW w:w="693" w:type="pct"/>
            <w:tcBorders>
              <w:top w:val="nil"/>
              <w:left w:val="single" w:color="auto" w:sz="4" w:space="0"/>
              <w:bottom w:val="single" w:color="auto" w:sz="4" w:space="0"/>
              <w:right w:val="single" w:color="auto" w:sz="4" w:space="0"/>
            </w:tcBorders>
            <w:shd w:val="clear" w:color="auto" w:fill="auto"/>
            <w:vAlign w:val="center"/>
          </w:tcPr>
          <w:p w14:paraId="70F83BB7">
            <w:pPr>
              <w:widowControl/>
              <w:ind w:firstLine="440"/>
              <w:rPr>
                <w:color w:val="000000"/>
                <w:sz w:val="22"/>
              </w:rPr>
            </w:pPr>
            <w:r>
              <w:rPr>
                <w:rFonts w:hint="eastAsia"/>
                <w:color w:val="000000"/>
                <w:sz w:val="22"/>
              </w:rPr>
              <w:t>20</w:t>
            </w:r>
          </w:p>
        </w:tc>
        <w:tc>
          <w:tcPr>
            <w:tcW w:w="4306" w:type="pct"/>
            <w:gridSpan w:val="3"/>
            <w:tcBorders>
              <w:top w:val="single" w:color="auto" w:sz="4" w:space="0"/>
              <w:left w:val="nil"/>
              <w:bottom w:val="single" w:color="auto" w:sz="4" w:space="0"/>
              <w:right w:val="single" w:color="000000" w:sz="4" w:space="0"/>
            </w:tcBorders>
            <w:shd w:val="clear" w:color="auto" w:fill="auto"/>
            <w:noWrap/>
            <w:vAlign w:val="center"/>
          </w:tcPr>
          <w:p w14:paraId="18001FCC">
            <w:pPr>
              <w:widowControl/>
              <w:ind w:firstLine="440"/>
              <w:jc w:val="center"/>
              <w:rPr>
                <w:color w:val="000000"/>
                <w:sz w:val="22"/>
              </w:rPr>
            </w:pPr>
            <w:r>
              <w:rPr>
                <w:rFonts w:hint="eastAsia"/>
                <w:color w:val="000000"/>
                <w:sz w:val="22"/>
              </w:rPr>
              <w:t>期末考试</w:t>
            </w:r>
          </w:p>
        </w:tc>
      </w:tr>
    </w:tbl>
    <w:p w14:paraId="423A383F">
      <w:pPr>
        <w:ind w:firstLine="420"/>
      </w:pPr>
    </w:p>
    <w:p w14:paraId="291A7DDA">
      <w:pPr>
        <w:pStyle w:val="17"/>
        <w:spacing w:before="156" w:beforeLines="50" w:after="156" w:afterLines="50"/>
        <w:jc w:val="center"/>
        <w:outlineLvl w:val="2"/>
        <w:rPr>
          <w:rFonts w:ascii="黑体" w:hAnsi="黑体" w:eastAsia="黑体" w:cs="黑体"/>
          <w:sz w:val="30"/>
          <w:szCs w:val="30"/>
        </w:rPr>
      </w:pPr>
    </w:p>
    <w:p w14:paraId="5165DA9A">
      <w:pPr>
        <w:rPr>
          <w:rFonts w:hint="eastAsia" w:ascii="黑体" w:hAnsi="黑体" w:eastAsia="黑体" w:cs="黑体"/>
          <w:sz w:val="30"/>
          <w:szCs w:val="30"/>
        </w:rPr>
      </w:pPr>
      <w:bookmarkStart w:id="156" w:name="_Toc5052"/>
      <w:bookmarkStart w:id="157" w:name="_Toc22579"/>
      <w:bookmarkStart w:id="158" w:name="_Toc10267"/>
      <w:r>
        <w:rPr>
          <w:rFonts w:hint="eastAsia" w:ascii="黑体" w:hAnsi="黑体" w:eastAsia="黑体" w:cs="黑体"/>
          <w:sz w:val="30"/>
          <w:szCs w:val="30"/>
        </w:rPr>
        <w:br w:type="page"/>
      </w:r>
    </w:p>
    <w:p w14:paraId="3EBDD6CA">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场景化企业经营模拟课程标准</w:t>
      </w:r>
      <w:bookmarkEnd w:id="156"/>
      <w:bookmarkEnd w:id="157"/>
      <w:bookmarkEnd w:id="158"/>
    </w:p>
    <w:p w14:paraId="0A7FCB5F">
      <w:pPr>
        <w:pStyle w:val="17"/>
        <w:spacing w:after="0" w:line="400" w:lineRule="exact"/>
        <w:ind w:firstLine="560" w:firstLineChars="200"/>
        <w:rPr>
          <w:rFonts w:ascii="楷体_GB2312" w:eastAsia="楷体_GB2312"/>
          <w:sz w:val="28"/>
          <w:szCs w:val="28"/>
        </w:rPr>
      </w:pPr>
    </w:p>
    <w:p w14:paraId="115EA2BC">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（一）课程性质与任务</w:t>
      </w:r>
    </w:p>
    <w:p w14:paraId="345C9FBA">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场景化企业经营模拟》是一门体验式的零基础专业实践课程，为学生宏观理解会计专业各基础课程提供理性思维和兴趣培养，融理论与实践于一体、集角色扮演与岗位体验于一身，是财经商贸类专业教学改革的体现。借助ERP沙盘模拟软件系统（新道新创业者电子沙盘3.0（以下简称 “ERP”）），增强学生对企业经营流程感知，熟悉实际工作中各岗位具体工作内容提升团队合作能力，在角色扮演对抗演练中，让学生能对所学知识、经营过程进行自我总结与评价，培养中职院校学生的企业经营管理岗位通用技能和职业能力，激发学生专业学习的主动性和积极性。</w:t>
      </w:r>
    </w:p>
    <w:p w14:paraId="7CEF9BA2">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ascii="楷体_GB2312" w:eastAsia="楷体_GB2312"/>
          <w:sz w:val="24"/>
          <w:szCs w:val="24"/>
        </w:rPr>
        <w:t>（二）课程教学目标</w:t>
      </w:r>
    </w:p>
    <w:p w14:paraId="49E1EE37">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sz w:val="24"/>
          <w:szCs w:val="24"/>
        </w:rPr>
        <w:t>1</w:t>
      </w:r>
      <w:r>
        <w:rPr>
          <w:sz w:val="24"/>
          <w:szCs w:val="24"/>
        </w:rPr>
        <w:t>.素质目标</w:t>
      </w:r>
    </w:p>
    <w:p w14:paraId="41ED2FCA">
      <w:pPr>
        <w:pStyle w:val="2"/>
        <w:keepNext w:val="0"/>
        <w:keepLines w:val="0"/>
        <w:pageBreakBefore w:val="0"/>
        <w:widowControl w:val="0"/>
        <w:kinsoku/>
        <w:wordWrap/>
        <w:overflowPunct/>
        <w:topLinePunct w:val="0"/>
        <w:bidi w:val="0"/>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（1）具有较强的语言表达、职业沟通和团队合作能力；</w:t>
      </w:r>
    </w:p>
    <w:p w14:paraId="19BD4CEF">
      <w:pPr>
        <w:pStyle w:val="2"/>
        <w:keepNext w:val="0"/>
        <w:keepLines w:val="0"/>
        <w:pageBreakBefore w:val="0"/>
        <w:widowControl w:val="0"/>
        <w:kinsoku/>
        <w:wordWrap/>
        <w:overflowPunct/>
        <w:topLinePunct w:val="0"/>
        <w:bidi w:val="0"/>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（2）能严格公正地执行经济环境纪律；</w:t>
      </w:r>
    </w:p>
    <w:p w14:paraId="4F3C8913">
      <w:pPr>
        <w:pStyle w:val="2"/>
        <w:keepNext w:val="0"/>
        <w:keepLines w:val="0"/>
        <w:pageBreakBefore w:val="0"/>
        <w:widowControl w:val="0"/>
        <w:kinsoku/>
        <w:wordWrap/>
        <w:overflowPunct/>
        <w:topLinePunct w:val="0"/>
        <w:bidi w:val="0"/>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（3）具有良好的心理素质、诚信品质和社会责任感；</w:t>
      </w:r>
    </w:p>
    <w:p w14:paraId="208EF963">
      <w:pPr>
        <w:pStyle w:val="2"/>
        <w:keepNext w:val="0"/>
        <w:keepLines w:val="0"/>
        <w:pageBreakBefore w:val="0"/>
        <w:widowControl w:val="0"/>
        <w:kinsoku/>
        <w:wordWrap/>
        <w:overflowPunct/>
        <w:topLinePunct w:val="0"/>
        <w:bidi w:val="0"/>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（4）具有踏实肯干的工作作风和主动、热情、耐心的服务意识；</w:t>
      </w:r>
    </w:p>
    <w:p w14:paraId="44A9E72A">
      <w:pPr>
        <w:pStyle w:val="2"/>
        <w:keepNext w:val="0"/>
        <w:keepLines w:val="0"/>
        <w:pageBreakBefore w:val="0"/>
        <w:widowControl w:val="0"/>
        <w:kinsoku/>
        <w:wordWrap/>
        <w:overflowPunct/>
        <w:topLinePunct w:val="0"/>
        <w:bidi w:val="0"/>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（5）深刻理解局部最优不等于总体最优的道理；</w:t>
      </w:r>
    </w:p>
    <w:p w14:paraId="3C2DEC8D">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ascii="仿宋_GB2312" w:hAnsi="仿宋_GB2312" w:cs="仿宋_GB2312"/>
          <w:sz w:val="24"/>
          <w:szCs w:val="24"/>
        </w:rPr>
        <w:t>（6）培养长远的经济眼光。</w:t>
      </w:r>
    </w:p>
    <w:p w14:paraId="7822FCE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2.知识目标</w:t>
      </w:r>
    </w:p>
    <w:p w14:paraId="27CF5136">
      <w:pPr>
        <w:pStyle w:val="40"/>
        <w:keepNext w:val="0"/>
        <w:keepLines w:val="0"/>
        <w:pageBreakBefore w:val="0"/>
        <w:widowControl w:val="0"/>
        <w:kinsoku/>
        <w:wordWrap/>
        <w:overflowPunct/>
        <w:topLinePunct w:val="0"/>
        <w:bidi w:val="0"/>
        <w:snapToGrid/>
        <w:spacing w:line="400" w:lineRule="exact"/>
        <w:ind w:firstLine="480" w:firstLineChars="200"/>
        <w:textAlignment w:val="auto"/>
        <w:rPr>
          <w:rFonts w:ascii="仿宋_GB2312" w:hAnsi="仿宋_GB2312" w:cs="仿宋_GB2312"/>
          <w:sz w:val="24"/>
          <w:szCs w:val="24"/>
        </w:rPr>
      </w:pPr>
      <w:r>
        <w:rPr>
          <w:rFonts w:hint="eastAsia" w:ascii="仿宋_GB2312" w:hAnsi="仿宋_GB2312" w:cs="仿宋_GB2312"/>
          <w:sz w:val="24"/>
          <w:szCs w:val="24"/>
        </w:rPr>
        <w:t>（1）掌握资产负债表、利润表的结构；</w:t>
      </w:r>
    </w:p>
    <w:p w14:paraId="43F99A56">
      <w:pPr>
        <w:pStyle w:val="40"/>
        <w:keepNext w:val="0"/>
        <w:keepLines w:val="0"/>
        <w:pageBreakBefore w:val="0"/>
        <w:widowControl w:val="0"/>
        <w:kinsoku/>
        <w:wordWrap/>
        <w:overflowPunct/>
        <w:topLinePunct w:val="0"/>
        <w:bidi w:val="0"/>
        <w:snapToGrid/>
        <w:spacing w:line="400" w:lineRule="exact"/>
        <w:ind w:firstLine="480" w:firstLineChars="200"/>
        <w:textAlignment w:val="auto"/>
        <w:rPr>
          <w:rFonts w:ascii="仿宋_GB2312" w:hAnsi="仿宋_GB2312" w:cs="仿宋_GB2312"/>
          <w:sz w:val="24"/>
          <w:szCs w:val="24"/>
        </w:rPr>
      </w:pPr>
      <w:r>
        <w:rPr>
          <w:rFonts w:hint="eastAsia" w:ascii="仿宋_GB2312" w:hAnsi="仿宋_GB2312" w:cs="仿宋_GB2312"/>
          <w:sz w:val="24"/>
          <w:szCs w:val="24"/>
        </w:rPr>
        <w:t>（2）掌握资本流转如何影响损益；</w:t>
      </w:r>
    </w:p>
    <w:p w14:paraId="23BAF1CF">
      <w:pPr>
        <w:pStyle w:val="40"/>
        <w:keepNext w:val="0"/>
        <w:keepLines w:val="0"/>
        <w:pageBreakBefore w:val="0"/>
        <w:widowControl w:val="0"/>
        <w:kinsoku/>
        <w:wordWrap/>
        <w:overflowPunct/>
        <w:topLinePunct w:val="0"/>
        <w:bidi w:val="0"/>
        <w:snapToGrid/>
        <w:spacing w:line="400" w:lineRule="exact"/>
        <w:ind w:firstLine="480" w:firstLineChars="200"/>
        <w:textAlignment w:val="auto"/>
        <w:rPr>
          <w:rFonts w:ascii="仿宋_GB2312" w:hAnsi="仿宋_GB2312" w:cs="仿宋_GB2312"/>
          <w:sz w:val="24"/>
          <w:szCs w:val="24"/>
        </w:rPr>
      </w:pPr>
      <w:r>
        <w:rPr>
          <w:rFonts w:hint="eastAsia" w:ascii="仿宋_GB2312" w:hAnsi="仿宋_GB2312" w:cs="仿宋_GB2312"/>
          <w:sz w:val="24"/>
          <w:szCs w:val="24"/>
        </w:rPr>
        <w:t>（3）解读企业经营的全局；</w:t>
      </w:r>
    </w:p>
    <w:p w14:paraId="2719093C">
      <w:pPr>
        <w:pStyle w:val="40"/>
        <w:keepNext w:val="0"/>
        <w:keepLines w:val="0"/>
        <w:pageBreakBefore w:val="0"/>
        <w:widowControl w:val="0"/>
        <w:kinsoku/>
        <w:wordWrap/>
        <w:overflowPunct/>
        <w:topLinePunct w:val="0"/>
        <w:bidi w:val="0"/>
        <w:snapToGrid/>
        <w:spacing w:line="400" w:lineRule="exact"/>
        <w:ind w:firstLine="480" w:firstLineChars="200"/>
        <w:textAlignment w:val="auto"/>
        <w:rPr>
          <w:rFonts w:ascii="仿宋_GB2312" w:hAnsi="仿宋_GB2312" w:cs="仿宋_GB2312"/>
          <w:sz w:val="24"/>
          <w:szCs w:val="24"/>
        </w:rPr>
      </w:pPr>
      <w:r>
        <w:rPr>
          <w:rFonts w:hint="eastAsia" w:ascii="仿宋_GB2312" w:hAnsi="仿宋_GB2312" w:cs="仿宋_GB2312"/>
          <w:sz w:val="24"/>
          <w:szCs w:val="24"/>
        </w:rPr>
        <w:t>（4）预估长短期资金需求，以最佳方式筹资，控制融资成本；</w:t>
      </w:r>
    </w:p>
    <w:p w14:paraId="0581A9AC">
      <w:pPr>
        <w:pStyle w:val="40"/>
        <w:keepNext w:val="0"/>
        <w:keepLines w:val="0"/>
        <w:pageBreakBefore w:val="0"/>
        <w:widowControl w:val="0"/>
        <w:kinsoku/>
        <w:wordWrap/>
        <w:overflowPunct/>
        <w:topLinePunct w:val="0"/>
        <w:bidi w:val="0"/>
        <w:snapToGrid/>
        <w:spacing w:line="400" w:lineRule="exact"/>
        <w:ind w:firstLine="480" w:firstLineChars="200"/>
        <w:textAlignment w:val="auto"/>
        <w:rPr>
          <w:rFonts w:ascii="仿宋_GB2312" w:hAnsi="仿宋_GB2312" w:cs="仿宋_GB2312"/>
          <w:sz w:val="24"/>
          <w:szCs w:val="24"/>
        </w:rPr>
      </w:pPr>
      <w:r>
        <w:rPr>
          <w:rFonts w:hint="eastAsia" w:ascii="仿宋_GB2312" w:hAnsi="仿宋_GB2312" w:cs="仿宋_GB2312"/>
          <w:sz w:val="24"/>
          <w:szCs w:val="24"/>
        </w:rPr>
        <w:t>（5）理解现金流对企业经营的影响。</w:t>
      </w:r>
    </w:p>
    <w:p w14:paraId="395B98A4">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3.能力目标</w:t>
      </w:r>
    </w:p>
    <w:p w14:paraId="6CAAA6A4">
      <w:pPr>
        <w:pStyle w:val="40"/>
        <w:keepNext w:val="0"/>
        <w:keepLines w:val="0"/>
        <w:pageBreakBefore w:val="0"/>
        <w:widowControl w:val="0"/>
        <w:kinsoku/>
        <w:wordWrap/>
        <w:overflowPunct/>
        <w:topLinePunct w:val="0"/>
        <w:bidi w:val="0"/>
        <w:snapToGrid/>
        <w:spacing w:line="400" w:lineRule="exact"/>
        <w:ind w:firstLine="240"/>
        <w:textAlignment w:val="auto"/>
        <w:rPr>
          <w:rFonts w:ascii="仿宋_GB2312" w:hAnsi="仿宋_GB2312" w:cs="仿宋_GB2312"/>
          <w:sz w:val="24"/>
          <w:szCs w:val="24"/>
        </w:rPr>
      </w:pPr>
      <w:r>
        <w:rPr>
          <w:rFonts w:hint="eastAsia" w:ascii="仿宋_GB2312" w:hAnsi="仿宋_GB2312" w:cs="仿宋_GB2312"/>
          <w:sz w:val="24"/>
          <w:szCs w:val="24"/>
        </w:rPr>
        <w:t>能够时刻跟踪企业运行状况，对企业业务运行过程进行控制和监督，及时为企业管理者提供有效建议和可用信息。</w:t>
      </w:r>
    </w:p>
    <w:p w14:paraId="4C4518F3">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（三）参考学时</w:t>
      </w:r>
    </w:p>
    <w:p w14:paraId="1B77563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36学时。</w:t>
      </w:r>
    </w:p>
    <w:p w14:paraId="12F80169">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（四）课程学分</w:t>
      </w:r>
    </w:p>
    <w:p w14:paraId="2C42E77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2学分。</w:t>
      </w:r>
    </w:p>
    <w:p w14:paraId="33192FA1">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（五）课程内容和要求</w:t>
      </w:r>
    </w:p>
    <w:p w14:paraId="7A22D03C">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本课程坚持立德树人的根本要求，结合中职学生学习特点，遵循职业教育人才培养规律，落实课程思政要求，有机融入思想政治教育内容，紧密联系工作实际，突出应用性和实践性，注重学生职业能力和可持续发展能力的培养,结合中高本衔接培养需要，根据会计专业我人才培养方案中本课程的内容与要求，合理设计如下学习单元（模块）和教学活动，并在素质、知识和能力等方面达到相应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76"/>
        <w:gridCol w:w="2693"/>
        <w:gridCol w:w="2682"/>
        <w:gridCol w:w="724"/>
      </w:tblGrid>
      <w:tr w14:paraId="382DA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05C4DD7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276" w:type="dxa"/>
            <w:shd w:val="clear" w:color="auto" w:fill="BEBEBE" w:themeFill="background1" w:themeFillShade="BF"/>
            <w:vAlign w:val="center"/>
          </w:tcPr>
          <w:p w14:paraId="288ED31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693" w:type="dxa"/>
            <w:shd w:val="clear" w:color="auto" w:fill="BEBEBE" w:themeFill="background1" w:themeFillShade="BF"/>
            <w:vAlign w:val="center"/>
          </w:tcPr>
          <w:p w14:paraId="412350E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64D14CF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1D6310A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6D292E4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4BE50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FFCDBE6">
            <w:pPr>
              <w:adjustRightInd w:val="0"/>
              <w:jc w:val="center"/>
              <w:rPr>
                <w:rFonts w:ascii="仿宋_GB2312"/>
              </w:rPr>
            </w:pPr>
            <w:r>
              <w:rPr>
                <w:rFonts w:hint="eastAsia"/>
              </w:rPr>
              <w:t>1</w:t>
            </w:r>
          </w:p>
        </w:tc>
        <w:tc>
          <w:tcPr>
            <w:tcW w:w="1276" w:type="dxa"/>
            <w:vAlign w:val="center"/>
          </w:tcPr>
          <w:p w14:paraId="28C9EE38">
            <w:pPr>
              <w:adjustRightInd w:val="0"/>
              <w:rPr>
                <w:rFonts w:ascii="仿宋_GB2312"/>
              </w:rPr>
            </w:pPr>
            <w:r>
              <w:rPr>
                <w:rFonts w:hint="eastAsia" w:ascii="Arial" w:hAnsi="Arial"/>
                <w:bCs/>
              </w:rPr>
              <w:t>学习实训室纪律与规范</w:t>
            </w:r>
          </w:p>
        </w:tc>
        <w:tc>
          <w:tcPr>
            <w:tcW w:w="2693" w:type="dxa"/>
            <w:vAlign w:val="center"/>
          </w:tcPr>
          <w:p w14:paraId="6A572DF5">
            <w:pPr>
              <w:adjustRightInd w:val="0"/>
              <w:rPr>
                <w:rFonts w:ascii="仿宋_GB2312"/>
              </w:rPr>
            </w:pPr>
            <w:r>
              <w:rPr>
                <w:rFonts w:hint="eastAsia"/>
              </w:rPr>
              <w:t>1.了解并熟悉沙盘实训要求与安全。</w:t>
            </w:r>
          </w:p>
        </w:tc>
        <w:tc>
          <w:tcPr>
            <w:tcW w:w="2682" w:type="dxa"/>
            <w:vAlign w:val="center"/>
          </w:tcPr>
          <w:p w14:paraId="09B976DE">
            <w:r>
              <w:rPr>
                <w:rFonts w:hint="eastAsia"/>
              </w:rPr>
              <w:t>1.多媒体演示，了解沙盘实训要求与安全；</w:t>
            </w:r>
          </w:p>
          <w:p w14:paraId="5C0F317F">
            <w:pPr>
              <w:adjustRightInd w:val="0"/>
            </w:pPr>
            <w:r>
              <w:rPr>
                <w:rFonts w:hint="eastAsia"/>
              </w:rPr>
              <w:t>2.安全有序进行实训操作。</w:t>
            </w:r>
          </w:p>
          <w:p w14:paraId="7463609E">
            <w:pPr>
              <w:adjustRightInd w:val="0"/>
            </w:pPr>
            <w:r>
              <w:rPr>
                <w:rFonts w:hint="eastAsia"/>
              </w:rPr>
              <w:t>3.增强学生的纪律意识，养成遵守规范的能力。</w:t>
            </w:r>
          </w:p>
        </w:tc>
        <w:tc>
          <w:tcPr>
            <w:tcW w:w="724" w:type="dxa"/>
            <w:vAlign w:val="center"/>
          </w:tcPr>
          <w:p w14:paraId="2132A344">
            <w:pPr>
              <w:adjustRightInd w:val="0"/>
              <w:jc w:val="center"/>
              <w:rPr>
                <w:rFonts w:ascii="仿宋_GB2312"/>
              </w:rPr>
            </w:pPr>
            <w:r>
              <w:t>2</w:t>
            </w:r>
          </w:p>
        </w:tc>
      </w:tr>
      <w:tr w14:paraId="2F9D2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16AF5DD">
            <w:pPr>
              <w:adjustRightInd w:val="0"/>
              <w:jc w:val="center"/>
              <w:rPr>
                <w:rFonts w:ascii="仿宋_GB2312"/>
              </w:rPr>
            </w:pPr>
            <w:r>
              <w:rPr>
                <w:rFonts w:hint="eastAsia" w:cs="Times New Roman" w:asciiTheme="minorEastAsia" w:hAnsiTheme="minorEastAsia"/>
              </w:rPr>
              <w:t>2</w:t>
            </w:r>
          </w:p>
        </w:tc>
        <w:tc>
          <w:tcPr>
            <w:tcW w:w="1276" w:type="dxa"/>
            <w:vAlign w:val="center"/>
          </w:tcPr>
          <w:p w14:paraId="0084F05A">
            <w:pPr>
              <w:adjustRightInd w:val="0"/>
              <w:rPr>
                <w:rFonts w:ascii="仿宋_GB2312"/>
              </w:rPr>
            </w:pPr>
            <w:r>
              <w:rPr>
                <w:rFonts w:hint="eastAsia" w:cs="Times New Roman" w:asciiTheme="minorEastAsia" w:hAnsiTheme="minorEastAsia"/>
              </w:rPr>
              <w:t>认知企业沙盘，熟悉企业经营规则</w:t>
            </w:r>
          </w:p>
        </w:tc>
        <w:tc>
          <w:tcPr>
            <w:tcW w:w="2693" w:type="dxa"/>
            <w:vAlign w:val="center"/>
          </w:tcPr>
          <w:p w14:paraId="12F95821">
            <w:r>
              <w:rPr>
                <w:rFonts w:hint="eastAsia"/>
              </w:rPr>
              <w:t>1.熟悉物理沙盘的格局；</w:t>
            </w:r>
          </w:p>
          <w:p w14:paraId="3118A7CE">
            <w:r>
              <w:rPr>
                <w:rFonts w:hint="eastAsia"/>
              </w:rPr>
              <w:t>2.了解沙盘的操作程序；</w:t>
            </w:r>
          </w:p>
          <w:p w14:paraId="180BA340">
            <w:r>
              <w:rPr>
                <w:rFonts w:hint="eastAsia"/>
              </w:rPr>
              <w:t>3．明确各职责的岗位分工；</w:t>
            </w:r>
          </w:p>
          <w:p w14:paraId="43F23C01">
            <w:pPr>
              <w:adjustRightInd w:val="0"/>
              <w:rPr>
                <w:rFonts w:ascii="仿宋_GB2312"/>
              </w:rPr>
            </w:pPr>
            <w:r>
              <w:rPr>
                <w:rFonts w:hint="eastAsia"/>
              </w:rPr>
              <w:t>4.小组分组及熟悉合作要求。</w:t>
            </w:r>
          </w:p>
        </w:tc>
        <w:tc>
          <w:tcPr>
            <w:tcW w:w="2682" w:type="dxa"/>
            <w:vAlign w:val="center"/>
          </w:tcPr>
          <w:p w14:paraId="59453B0D">
            <w:r>
              <w:rPr>
                <w:rFonts w:hint="eastAsia"/>
              </w:rPr>
              <w:t>1.注册模拟企业，设置企业内部管理机构与职位；</w:t>
            </w:r>
          </w:p>
          <w:p w14:paraId="68C79609">
            <w:r>
              <w:rPr>
                <w:rFonts w:hint="eastAsia"/>
              </w:rPr>
              <w:t>2.讲解如何应聘管理岗位，建立多维度岗位素质，让学生能判断适合自己的岗位。</w:t>
            </w:r>
          </w:p>
          <w:p w14:paraId="47F81ECC">
            <w:r>
              <w:rPr>
                <w:rFonts w:hint="eastAsia"/>
              </w:rPr>
              <w:t>3.增强学生参与经济建设的意识，凝聚学生的企业精神。</w:t>
            </w:r>
          </w:p>
        </w:tc>
        <w:tc>
          <w:tcPr>
            <w:tcW w:w="724" w:type="dxa"/>
            <w:vAlign w:val="center"/>
          </w:tcPr>
          <w:p w14:paraId="7B59F115">
            <w:pPr>
              <w:adjustRightInd w:val="0"/>
              <w:jc w:val="center"/>
              <w:rPr>
                <w:rFonts w:ascii="仿宋_GB2312"/>
              </w:rPr>
            </w:pPr>
            <w:r>
              <w:rPr>
                <w:rFonts w:cs="Times New Roman" w:asciiTheme="minorEastAsia" w:hAnsiTheme="minorEastAsia"/>
              </w:rPr>
              <w:t>4</w:t>
            </w:r>
          </w:p>
        </w:tc>
      </w:tr>
      <w:tr w14:paraId="49CD2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B578F22">
            <w:pPr>
              <w:adjustRightInd w:val="0"/>
              <w:jc w:val="center"/>
              <w:rPr>
                <w:rFonts w:ascii="仿宋_GB2312"/>
              </w:rPr>
            </w:pPr>
            <w:r>
              <w:rPr>
                <w:rFonts w:hint="eastAsia"/>
              </w:rPr>
              <w:t>3</w:t>
            </w:r>
          </w:p>
        </w:tc>
        <w:tc>
          <w:tcPr>
            <w:tcW w:w="1276" w:type="dxa"/>
            <w:vAlign w:val="center"/>
          </w:tcPr>
          <w:p w14:paraId="6974B17F">
            <w:pPr>
              <w:adjustRightInd w:val="0"/>
              <w:rPr>
                <w:rFonts w:ascii="Arial" w:hAnsi="Arial"/>
                <w:bCs/>
              </w:rPr>
            </w:pPr>
            <w:r>
              <w:rPr>
                <w:rFonts w:hint="eastAsia" w:ascii="Arial" w:hAnsi="Arial"/>
                <w:bCs/>
              </w:rPr>
              <w:t>摸索企业经营，编制三表</w:t>
            </w:r>
          </w:p>
        </w:tc>
        <w:tc>
          <w:tcPr>
            <w:tcW w:w="2693" w:type="dxa"/>
            <w:vAlign w:val="center"/>
          </w:tcPr>
          <w:p w14:paraId="369360CA">
            <w:r>
              <w:rPr>
                <w:rFonts w:hint="eastAsia"/>
              </w:rPr>
              <w:t>1.熟悉市场规则；</w:t>
            </w:r>
          </w:p>
          <w:p w14:paraId="135EE4EF">
            <w:r>
              <w:rPr>
                <w:rFonts w:hint="eastAsia"/>
              </w:rPr>
              <w:t>2.分析市场规则及预测；</w:t>
            </w:r>
          </w:p>
          <w:p w14:paraId="0ECBCB8E">
            <w:r>
              <w:rPr>
                <w:rFonts w:hint="eastAsia"/>
              </w:rPr>
              <w:t>3.跟随教师熟悉物理沙盘操作（教学初始年）；</w:t>
            </w:r>
          </w:p>
          <w:p w14:paraId="23E07915">
            <w:pPr>
              <w:adjustRightInd w:val="0"/>
              <w:rPr>
                <w:rFonts w:ascii="仿宋_GB2312"/>
              </w:rPr>
            </w:pPr>
            <w:r>
              <w:rPr>
                <w:rFonts w:hint="eastAsia"/>
              </w:rPr>
              <w:t>4.编制综合费用表、利润表和资产负债表。</w:t>
            </w:r>
          </w:p>
        </w:tc>
        <w:tc>
          <w:tcPr>
            <w:tcW w:w="2682" w:type="dxa"/>
            <w:vAlign w:val="center"/>
          </w:tcPr>
          <w:p w14:paraId="1B871E0B">
            <w:pPr>
              <w:widowControl/>
            </w:pPr>
            <w:r>
              <w:rPr>
                <w:rFonts w:hint="eastAsia"/>
              </w:rPr>
              <w:t>1.模拟企业几年中的市场竞争对抗；</w:t>
            </w:r>
          </w:p>
          <w:p w14:paraId="03652AA0">
            <w:pPr>
              <w:adjustRightInd w:val="0"/>
            </w:pPr>
            <w:r>
              <w:rPr>
                <w:rFonts w:hint="eastAsia"/>
              </w:rPr>
              <w:t>2.将消费者需求，市场定位等理论介绍给学生，制定适合其公司的企业战略。</w:t>
            </w:r>
          </w:p>
          <w:p w14:paraId="7529D0C8">
            <w:pPr>
              <w:adjustRightInd w:val="0"/>
            </w:pPr>
            <w:r>
              <w:rPr>
                <w:rFonts w:hint="eastAsia"/>
              </w:rPr>
              <w:t>3.增强学生的敬业精神，培养学生认真严谨的工作态度。</w:t>
            </w:r>
          </w:p>
        </w:tc>
        <w:tc>
          <w:tcPr>
            <w:tcW w:w="724" w:type="dxa"/>
            <w:vAlign w:val="center"/>
          </w:tcPr>
          <w:p w14:paraId="2C325ED1">
            <w:pPr>
              <w:adjustRightInd w:val="0"/>
              <w:jc w:val="center"/>
              <w:rPr>
                <w:rFonts w:ascii="仿宋_GB2312"/>
              </w:rPr>
            </w:pPr>
            <w:r>
              <w:t>6</w:t>
            </w:r>
          </w:p>
        </w:tc>
      </w:tr>
      <w:tr w14:paraId="7AB0C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7F29101">
            <w:pPr>
              <w:adjustRightInd w:val="0"/>
              <w:jc w:val="center"/>
              <w:rPr>
                <w:rFonts w:cs="Times New Roman" w:asciiTheme="minorEastAsia" w:hAnsiTheme="minorEastAsia"/>
              </w:rPr>
            </w:pPr>
            <w:r>
              <w:rPr>
                <w:rFonts w:hint="eastAsia" w:cs="Times New Roman" w:asciiTheme="minorEastAsia" w:hAnsiTheme="minorEastAsia"/>
              </w:rPr>
              <w:t>4</w:t>
            </w:r>
          </w:p>
        </w:tc>
        <w:tc>
          <w:tcPr>
            <w:tcW w:w="1276" w:type="dxa"/>
            <w:vAlign w:val="center"/>
          </w:tcPr>
          <w:p w14:paraId="2959B340">
            <w:pPr>
              <w:adjustRightInd w:val="0"/>
              <w:rPr>
                <w:rFonts w:cs="Times New Roman" w:asciiTheme="minorEastAsia" w:hAnsiTheme="minorEastAsia"/>
              </w:rPr>
            </w:pPr>
            <w:r>
              <w:rPr>
                <w:rFonts w:hint="eastAsia" w:cs="Times New Roman" w:asciiTheme="minorEastAsia" w:hAnsiTheme="minorEastAsia"/>
              </w:rPr>
              <w:t>掌握操作，学习经营；读懂市场，开拓进取</w:t>
            </w:r>
          </w:p>
        </w:tc>
        <w:tc>
          <w:tcPr>
            <w:tcW w:w="2693" w:type="dxa"/>
            <w:vAlign w:val="center"/>
          </w:tcPr>
          <w:p w14:paraId="135E3C66">
            <w:pPr>
              <w:spacing w:line="360" w:lineRule="exact"/>
              <w:rPr>
                <w:rFonts w:cs="Times New Roman" w:asciiTheme="minorEastAsia" w:hAnsiTheme="minorEastAsia"/>
              </w:rPr>
            </w:pPr>
            <w:r>
              <w:rPr>
                <w:rFonts w:cs="Times New Roman" w:asciiTheme="minorEastAsia" w:hAnsiTheme="minorEastAsia"/>
              </w:rPr>
              <w:t>1.</w:t>
            </w:r>
            <w:r>
              <w:rPr>
                <w:rFonts w:hint="eastAsia" w:cs="Times New Roman" w:asciiTheme="minorEastAsia" w:hAnsiTheme="minorEastAsia"/>
              </w:rPr>
              <w:t>理解市场分析、团队合作、沟通协调；</w:t>
            </w:r>
          </w:p>
          <w:p w14:paraId="7DE8976A">
            <w:pPr>
              <w:widowControl/>
              <w:rPr>
                <w:rFonts w:cs="Times New Roman" w:asciiTheme="minorEastAsia" w:hAnsiTheme="minorEastAsia"/>
              </w:rPr>
            </w:pPr>
            <w:r>
              <w:rPr>
                <w:rFonts w:cs="Times New Roman" w:asciiTheme="minorEastAsia" w:hAnsiTheme="minorEastAsia"/>
              </w:rPr>
              <w:t>2.</w:t>
            </w:r>
            <w:r>
              <w:rPr>
                <w:rFonts w:hint="eastAsia" w:cs="Times New Roman" w:asciiTheme="minorEastAsia" w:hAnsiTheme="minorEastAsia"/>
              </w:rPr>
              <w:t>学会产能计算、换位思考、预算、细节等方法；</w:t>
            </w:r>
          </w:p>
          <w:p w14:paraId="72D02D2C">
            <w:pPr>
              <w:widowControl/>
              <w:rPr>
                <w:rFonts w:cs="Times New Roman" w:asciiTheme="minorEastAsia" w:hAnsiTheme="minorEastAsia"/>
              </w:rPr>
            </w:pPr>
            <w:r>
              <w:rPr>
                <w:rFonts w:hint="eastAsia" w:cs="Times New Roman" w:asciiTheme="minorEastAsia" w:hAnsiTheme="minorEastAsia"/>
              </w:rPr>
              <w:t>3</w:t>
            </w:r>
            <w:r>
              <w:rPr>
                <w:rFonts w:cs="Times New Roman" w:asciiTheme="minorEastAsia" w:hAnsiTheme="minorEastAsia"/>
              </w:rPr>
              <w:t>.</w:t>
            </w:r>
            <w:r>
              <w:rPr>
                <w:rFonts w:hint="eastAsia" w:cs="Times New Roman" w:asciiTheme="minorEastAsia" w:hAnsiTheme="minorEastAsia"/>
              </w:rPr>
              <w:t>探讨企业年度规划、业务计划、年度总结的实施方法；</w:t>
            </w:r>
          </w:p>
          <w:p w14:paraId="7F487D19">
            <w:pPr>
              <w:widowControl/>
            </w:pPr>
            <w:r>
              <w:rPr>
                <w:rFonts w:hint="eastAsia" w:cs="Times New Roman" w:asciiTheme="minorEastAsia" w:hAnsiTheme="minorEastAsia"/>
              </w:rPr>
              <w:t>4</w:t>
            </w:r>
            <w:r>
              <w:rPr>
                <w:rFonts w:cs="Times New Roman" w:asciiTheme="minorEastAsia" w:hAnsiTheme="minorEastAsia"/>
              </w:rPr>
              <w:t>.</w:t>
            </w:r>
            <w:r>
              <w:rPr>
                <w:rFonts w:hint="eastAsia" w:cs="Times New Roman" w:asciiTheme="minorEastAsia" w:hAnsiTheme="minorEastAsia"/>
              </w:rPr>
              <w:t>对当天的操作情况进行组内总结分析，并完成实训报告。</w:t>
            </w:r>
          </w:p>
        </w:tc>
        <w:tc>
          <w:tcPr>
            <w:tcW w:w="2682" w:type="dxa"/>
            <w:vAlign w:val="center"/>
          </w:tcPr>
          <w:p w14:paraId="2BC83E9E">
            <w:pPr>
              <w:widowControl/>
            </w:pPr>
            <w:r>
              <w:rPr>
                <w:rFonts w:hint="eastAsia"/>
              </w:rPr>
              <w:t>1.模拟企业市场的开拓、产品研发、融资等项目；</w:t>
            </w:r>
          </w:p>
          <w:p w14:paraId="535FF6DA">
            <w:pPr>
              <w:widowControl/>
            </w:pPr>
            <w:r>
              <w:rPr>
                <w:rFonts w:hint="eastAsia"/>
              </w:rPr>
              <w:t>2.学习广告营销策略，生产策略等。</w:t>
            </w:r>
          </w:p>
          <w:p w14:paraId="31EABA44">
            <w:pPr>
              <w:widowControl/>
            </w:pPr>
            <w:r>
              <w:rPr>
                <w:rFonts w:hint="eastAsia"/>
              </w:rPr>
              <w:t>3.增强学生开拓进取的精神，认真学习，适应市场变化的职业要求。</w:t>
            </w:r>
          </w:p>
        </w:tc>
        <w:tc>
          <w:tcPr>
            <w:tcW w:w="724" w:type="dxa"/>
            <w:vAlign w:val="center"/>
          </w:tcPr>
          <w:p w14:paraId="38EE39C6">
            <w:pPr>
              <w:adjustRightInd w:val="0"/>
              <w:jc w:val="center"/>
              <w:rPr>
                <w:rFonts w:cs="Times New Roman" w:asciiTheme="minorEastAsia" w:hAnsiTheme="minorEastAsia"/>
              </w:rPr>
            </w:pPr>
            <w:r>
              <w:rPr>
                <w:rFonts w:cs="Times New Roman" w:asciiTheme="minorEastAsia" w:hAnsiTheme="minorEastAsia"/>
              </w:rPr>
              <w:t>8</w:t>
            </w:r>
          </w:p>
        </w:tc>
      </w:tr>
      <w:tr w14:paraId="55332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81B59C1">
            <w:pPr>
              <w:adjustRightInd w:val="0"/>
              <w:jc w:val="center"/>
            </w:pPr>
            <w:r>
              <w:rPr>
                <w:rFonts w:hint="eastAsia" w:cs="Times New Roman" w:asciiTheme="minorEastAsia" w:hAnsiTheme="minorEastAsia"/>
              </w:rPr>
              <w:t>5</w:t>
            </w:r>
          </w:p>
        </w:tc>
        <w:tc>
          <w:tcPr>
            <w:tcW w:w="1276" w:type="dxa"/>
            <w:vAlign w:val="center"/>
          </w:tcPr>
          <w:p w14:paraId="5F01D9B2">
            <w:pPr>
              <w:adjustRightInd w:val="0"/>
              <w:rPr>
                <w:rFonts w:cs="Times New Roman" w:asciiTheme="minorEastAsia" w:hAnsiTheme="minorEastAsia"/>
              </w:rPr>
            </w:pPr>
            <w:r>
              <w:rPr>
                <w:rFonts w:hint="eastAsia" w:cs="Times New Roman" w:asciiTheme="minorEastAsia" w:hAnsiTheme="minorEastAsia"/>
              </w:rPr>
              <w:t>调查研究，提升能力；全面预算，规避破产</w:t>
            </w:r>
          </w:p>
        </w:tc>
        <w:tc>
          <w:tcPr>
            <w:tcW w:w="2693" w:type="dxa"/>
            <w:vAlign w:val="center"/>
          </w:tcPr>
          <w:p w14:paraId="21BCF4C8">
            <w:pPr>
              <w:spacing w:line="360" w:lineRule="exact"/>
              <w:rPr>
                <w:rFonts w:cs="Times New Roman" w:asciiTheme="minorEastAsia" w:hAnsiTheme="minorEastAsia"/>
              </w:rPr>
            </w:pPr>
            <w:r>
              <w:rPr>
                <w:rFonts w:hint="eastAsia" w:cs="Times New Roman" w:asciiTheme="minorEastAsia" w:hAnsiTheme="minorEastAsia"/>
              </w:rPr>
              <w:t>1</w:t>
            </w:r>
            <w:r>
              <w:rPr>
                <w:rFonts w:cs="Times New Roman" w:asciiTheme="minorEastAsia" w:hAnsiTheme="minorEastAsia"/>
              </w:rPr>
              <w:t>.</w:t>
            </w:r>
            <w:r>
              <w:rPr>
                <w:rFonts w:hint="eastAsia" w:cs="Times New Roman" w:asciiTheme="minorEastAsia" w:hAnsiTheme="minorEastAsia"/>
              </w:rPr>
              <w:t>顺利获取数据，及时分析运用数据；</w:t>
            </w:r>
          </w:p>
          <w:p w14:paraId="62F6D5D2">
            <w:pPr>
              <w:spacing w:line="360" w:lineRule="exact"/>
              <w:rPr>
                <w:rFonts w:cs="Times New Roman" w:asciiTheme="minorEastAsia" w:hAnsiTheme="minorEastAsia"/>
              </w:rPr>
            </w:pPr>
            <w:r>
              <w:rPr>
                <w:rFonts w:cs="Times New Roman" w:asciiTheme="minorEastAsia" w:hAnsiTheme="minorEastAsia"/>
              </w:rPr>
              <w:t>2.</w:t>
            </w:r>
            <w:r>
              <w:rPr>
                <w:rFonts w:hint="eastAsia" w:cs="Times New Roman" w:asciiTheme="minorEastAsia" w:hAnsiTheme="minorEastAsia"/>
              </w:rPr>
              <w:t>熟练掌握经营操作，理解相关理论以及团结的重要性；</w:t>
            </w:r>
          </w:p>
          <w:p w14:paraId="552869C8">
            <w:r>
              <w:rPr>
                <w:rFonts w:hint="eastAsia" w:cs="Times New Roman" w:asciiTheme="minorEastAsia" w:hAnsiTheme="minorEastAsia"/>
              </w:rPr>
              <w:t>3.面对经营困境，能应用适当的方法进行解决。</w:t>
            </w:r>
          </w:p>
        </w:tc>
        <w:tc>
          <w:tcPr>
            <w:tcW w:w="2682" w:type="dxa"/>
            <w:vAlign w:val="center"/>
          </w:tcPr>
          <w:p w14:paraId="5E2F4365">
            <w:pPr>
              <w:spacing w:line="360" w:lineRule="exact"/>
              <w:rPr>
                <w:rFonts w:cs="Times New Roman" w:asciiTheme="minorEastAsia" w:hAnsiTheme="minorEastAsia"/>
              </w:rPr>
            </w:pPr>
            <w:r>
              <w:rPr>
                <w:rFonts w:hint="eastAsia" w:cs="Times New Roman" w:asciiTheme="minorEastAsia" w:hAnsiTheme="minorEastAsia"/>
              </w:rPr>
              <w:t>1</w:t>
            </w:r>
            <w:r>
              <w:rPr>
                <w:rFonts w:cs="Times New Roman" w:asciiTheme="minorEastAsia" w:hAnsiTheme="minorEastAsia"/>
              </w:rPr>
              <w:t>.</w:t>
            </w:r>
            <w:r>
              <w:rPr>
                <w:rFonts w:hint="eastAsia" w:cs="Times New Roman" w:asciiTheme="minorEastAsia" w:hAnsiTheme="minorEastAsia"/>
              </w:rPr>
              <w:t>用实际案例，解读企业经营的全局策略；</w:t>
            </w:r>
          </w:p>
          <w:p w14:paraId="0F97279E">
            <w:pPr>
              <w:rPr>
                <w:rFonts w:cs="Times New Roman" w:asciiTheme="minorEastAsia" w:hAnsiTheme="minorEastAsia"/>
              </w:rPr>
            </w:pPr>
            <w:r>
              <w:rPr>
                <w:rFonts w:hint="eastAsia" w:cs="Times New Roman" w:asciiTheme="minorEastAsia" w:hAnsiTheme="minorEastAsia"/>
              </w:rPr>
              <w:t>2</w:t>
            </w:r>
            <w:r>
              <w:rPr>
                <w:rFonts w:cs="Times New Roman" w:asciiTheme="minorEastAsia" w:hAnsiTheme="minorEastAsia"/>
              </w:rPr>
              <w:t>.</w:t>
            </w:r>
            <w:r>
              <w:rPr>
                <w:rFonts w:hint="eastAsia" w:cs="Times New Roman" w:asciiTheme="minorEastAsia" w:hAnsiTheme="minorEastAsia"/>
              </w:rPr>
              <w:t>分析企业处于困境的原因和相应的解决措施。</w:t>
            </w:r>
          </w:p>
          <w:p w14:paraId="1E0FAE23">
            <w:pPr>
              <w:rPr>
                <w:rFonts w:cs="Times New Roman" w:asciiTheme="minorEastAsia" w:hAnsiTheme="minorEastAsia"/>
              </w:rPr>
            </w:pPr>
            <w:r>
              <w:rPr>
                <w:rFonts w:hint="eastAsia" w:cs="Times New Roman" w:asciiTheme="minorEastAsia" w:hAnsiTheme="minorEastAsia"/>
              </w:rPr>
              <w:t>3.增强学生的学习能力，养成通盘考虑的工作意识，面对企业经营困境，增强抗压能力。</w:t>
            </w:r>
          </w:p>
        </w:tc>
        <w:tc>
          <w:tcPr>
            <w:tcW w:w="724" w:type="dxa"/>
            <w:vAlign w:val="center"/>
          </w:tcPr>
          <w:p w14:paraId="0FE22A30">
            <w:pPr>
              <w:adjustRightInd w:val="0"/>
              <w:jc w:val="center"/>
            </w:pPr>
            <w:r>
              <w:rPr>
                <w:rFonts w:cs="Times New Roman" w:asciiTheme="minorEastAsia" w:hAnsiTheme="minorEastAsia"/>
              </w:rPr>
              <w:t>8</w:t>
            </w:r>
          </w:p>
        </w:tc>
      </w:tr>
      <w:tr w14:paraId="2C55B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2379102">
            <w:pPr>
              <w:adjustRightInd w:val="0"/>
              <w:jc w:val="center"/>
            </w:pPr>
            <w:r>
              <w:rPr>
                <w:rFonts w:hint="eastAsia" w:cs="Times New Roman" w:asciiTheme="minorEastAsia" w:hAnsiTheme="minorEastAsia"/>
              </w:rPr>
              <w:t>6</w:t>
            </w:r>
          </w:p>
        </w:tc>
        <w:tc>
          <w:tcPr>
            <w:tcW w:w="1276" w:type="dxa"/>
            <w:vAlign w:val="center"/>
          </w:tcPr>
          <w:p w14:paraId="19E4FEA2">
            <w:pPr>
              <w:adjustRightInd w:val="0"/>
              <w:rPr>
                <w:rFonts w:ascii="Arial" w:hAnsi="Arial"/>
                <w:bCs/>
              </w:rPr>
            </w:pPr>
            <w:r>
              <w:rPr>
                <w:rFonts w:hint="eastAsia" w:ascii="Arial" w:hAnsi="Arial"/>
                <w:bCs/>
              </w:rPr>
              <w:t>计划管理，关注细节；团队合作，效益最大</w:t>
            </w:r>
          </w:p>
        </w:tc>
        <w:tc>
          <w:tcPr>
            <w:tcW w:w="2693" w:type="dxa"/>
            <w:vAlign w:val="center"/>
          </w:tcPr>
          <w:p w14:paraId="2464AA59">
            <w:r>
              <w:rPr>
                <w:rFonts w:hint="eastAsia"/>
              </w:rPr>
              <w:t>1.掌握随机应变的方法，适时调整计划；</w:t>
            </w:r>
          </w:p>
          <w:p w14:paraId="08B66BAC">
            <w:r>
              <w:rPr>
                <w:rFonts w:hint="eastAsia"/>
              </w:rPr>
              <w:t>2.理解团队利益高于一切，懂得取舍。</w:t>
            </w:r>
          </w:p>
        </w:tc>
        <w:tc>
          <w:tcPr>
            <w:tcW w:w="2682" w:type="dxa"/>
            <w:vAlign w:val="center"/>
          </w:tcPr>
          <w:p w14:paraId="09ECE20E">
            <w:pPr>
              <w:widowControl/>
            </w:pPr>
            <w:r>
              <w:rPr>
                <w:rFonts w:hint="eastAsia"/>
              </w:rPr>
              <w:t>1.分析职位定义，组建课后小组；</w:t>
            </w:r>
          </w:p>
          <w:p w14:paraId="0055FB71">
            <w:r>
              <w:rPr>
                <w:rFonts w:hint="eastAsia"/>
              </w:rPr>
              <w:t>2.通过对整个企业模拟经营，理解并总结。</w:t>
            </w:r>
          </w:p>
          <w:p w14:paraId="10D40A57">
            <w:r>
              <w:rPr>
                <w:rFonts w:hint="eastAsia"/>
              </w:rPr>
              <w:t>3.培养学生严谨认真的工作态度，关注细节，培养学生的合作意识，团队利益高于一切。</w:t>
            </w:r>
          </w:p>
        </w:tc>
        <w:tc>
          <w:tcPr>
            <w:tcW w:w="724" w:type="dxa"/>
            <w:vAlign w:val="center"/>
          </w:tcPr>
          <w:p w14:paraId="37993C12">
            <w:pPr>
              <w:adjustRightInd w:val="0"/>
              <w:jc w:val="center"/>
            </w:pPr>
            <w:r>
              <w:rPr>
                <w:rFonts w:cs="Times New Roman" w:asciiTheme="minorEastAsia" w:hAnsiTheme="minorEastAsia"/>
              </w:rPr>
              <w:t>8</w:t>
            </w:r>
          </w:p>
        </w:tc>
      </w:tr>
    </w:tbl>
    <w:p w14:paraId="522E1EBE">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p>
    <w:p w14:paraId="23F68881">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r>
        <w:rPr>
          <w:rFonts w:hint="eastAsia" w:ascii="楷体_GB2312" w:eastAsia="楷体_GB2312"/>
          <w:sz w:val="24"/>
          <w:szCs w:val="24"/>
        </w:rPr>
        <w:t>（六）实施建议</w:t>
      </w:r>
    </w:p>
    <w:p w14:paraId="199E0F2E">
      <w:pPr>
        <w:pStyle w:val="17"/>
        <w:spacing w:after="0" w:line="400" w:lineRule="exact"/>
        <w:ind w:firstLine="480" w:firstLineChars="200"/>
        <w:rPr>
          <w:sz w:val="24"/>
          <w:szCs w:val="24"/>
        </w:rPr>
      </w:pPr>
      <w:r>
        <w:rPr>
          <w:rFonts w:hint="eastAsia"/>
          <w:sz w:val="24"/>
          <w:szCs w:val="24"/>
        </w:rPr>
        <w:t>1.教学方法</w:t>
      </w:r>
    </w:p>
    <w:p w14:paraId="33BCA046">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7944B496">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033E8D3D">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02006F4D">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7D6B0D98">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196600CA">
      <w:pPr>
        <w:pStyle w:val="17"/>
        <w:spacing w:after="0" w:line="400" w:lineRule="exact"/>
        <w:ind w:firstLine="480" w:firstLineChars="200"/>
        <w:rPr>
          <w:sz w:val="24"/>
          <w:szCs w:val="24"/>
        </w:rPr>
      </w:pPr>
      <w:r>
        <w:rPr>
          <w:rFonts w:hint="eastAsia"/>
          <w:sz w:val="24"/>
          <w:szCs w:val="24"/>
        </w:rPr>
        <w:t>2.评价方法</w:t>
      </w:r>
    </w:p>
    <w:p w14:paraId="3B6C2BC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采取过程评价和结果评价相结合的原则。总体评价=过程评价60%+结果评价40%。</w:t>
      </w:r>
    </w:p>
    <w:p w14:paraId="4986AF08">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其中过程评价采取学生自评和互评相结合的原则：</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739"/>
        <w:gridCol w:w="1420"/>
        <w:gridCol w:w="1420"/>
        <w:gridCol w:w="1421"/>
        <w:gridCol w:w="1421"/>
      </w:tblGrid>
      <w:tr w14:paraId="0B5C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vAlign w:val="bottom"/>
          </w:tcPr>
          <w:p w14:paraId="3DA35A87">
            <w:pPr>
              <w:adjustRightInd w:val="0"/>
              <w:jc w:val="center"/>
            </w:pPr>
            <w:r>
              <w:rPr>
                <w:rFonts w:hint="eastAsia"/>
              </w:rPr>
              <w:t>评价项目</w:t>
            </w:r>
          </w:p>
        </w:tc>
        <w:tc>
          <w:tcPr>
            <w:tcW w:w="1420" w:type="dxa"/>
            <w:vAlign w:val="bottom"/>
          </w:tcPr>
          <w:p w14:paraId="5C4EFCF9">
            <w:pPr>
              <w:adjustRightInd w:val="0"/>
              <w:jc w:val="center"/>
            </w:pPr>
            <w:r>
              <w:rPr>
                <w:rFonts w:hint="eastAsia"/>
              </w:rPr>
              <w:t>评价内容</w:t>
            </w:r>
          </w:p>
        </w:tc>
        <w:tc>
          <w:tcPr>
            <w:tcW w:w="1420" w:type="dxa"/>
            <w:vAlign w:val="bottom"/>
          </w:tcPr>
          <w:p w14:paraId="4D86C2DF">
            <w:pPr>
              <w:adjustRightInd w:val="0"/>
              <w:jc w:val="center"/>
            </w:pPr>
            <w:r>
              <w:rPr>
                <w:rFonts w:hint="eastAsia"/>
              </w:rPr>
              <w:t>评价形式</w:t>
            </w:r>
          </w:p>
        </w:tc>
        <w:tc>
          <w:tcPr>
            <w:tcW w:w="1421" w:type="dxa"/>
            <w:vAlign w:val="bottom"/>
          </w:tcPr>
          <w:p w14:paraId="490E9DCA">
            <w:pPr>
              <w:adjustRightInd w:val="0"/>
              <w:jc w:val="center"/>
            </w:pPr>
            <w:r>
              <w:rPr>
                <w:rFonts w:hint="eastAsia"/>
              </w:rPr>
              <w:t>权重（%）</w:t>
            </w:r>
          </w:p>
        </w:tc>
        <w:tc>
          <w:tcPr>
            <w:tcW w:w="1421" w:type="dxa"/>
            <w:vAlign w:val="bottom"/>
          </w:tcPr>
          <w:p w14:paraId="40EAA7FA">
            <w:pPr>
              <w:adjustRightInd w:val="0"/>
              <w:jc w:val="center"/>
            </w:pPr>
            <w:r>
              <w:rPr>
                <w:rFonts w:hint="eastAsia"/>
              </w:rPr>
              <w:t>分值</w:t>
            </w:r>
          </w:p>
        </w:tc>
      </w:tr>
      <w:tr w14:paraId="6439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079B5729">
            <w:pPr>
              <w:adjustRightInd w:val="0"/>
              <w:jc w:val="center"/>
            </w:pPr>
            <w:r>
              <w:rPr>
                <w:rFonts w:hint="eastAsia"/>
              </w:rPr>
              <w:t>过程性评价</w:t>
            </w:r>
          </w:p>
        </w:tc>
        <w:tc>
          <w:tcPr>
            <w:tcW w:w="1739" w:type="dxa"/>
            <w:vAlign w:val="center"/>
          </w:tcPr>
          <w:p w14:paraId="3408A0E3">
            <w:pPr>
              <w:adjustRightInd w:val="0"/>
              <w:jc w:val="center"/>
            </w:pPr>
            <w:r>
              <w:rPr>
                <w:rFonts w:hint="eastAsia"/>
              </w:rPr>
              <w:t>学习单元评价综合</w:t>
            </w:r>
          </w:p>
        </w:tc>
        <w:tc>
          <w:tcPr>
            <w:tcW w:w="1420" w:type="dxa"/>
            <w:vAlign w:val="center"/>
          </w:tcPr>
          <w:p w14:paraId="5866CE09">
            <w:pPr>
              <w:adjustRightInd w:val="0"/>
              <w:jc w:val="center"/>
            </w:pPr>
            <w:r>
              <w:rPr>
                <w:rFonts w:hint="eastAsia"/>
              </w:rPr>
              <w:t>基本概念的理解程度</w:t>
            </w:r>
          </w:p>
        </w:tc>
        <w:tc>
          <w:tcPr>
            <w:tcW w:w="1420" w:type="dxa"/>
            <w:vAlign w:val="center"/>
          </w:tcPr>
          <w:p w14:paraId="1F1558FF">
            <w:pPr>
              <w:adjustRightInd w:val="0"/>
              <w:jc w:val="center"/>
            </w:pPr>
            <w:r>
              <w:rPr>
                <w:rFonts w:hint="eastAsia"/>
              </w:rPr>
              <w:t>回答问题表现</w:t>
            </w:r>
          </w:p>
        </w:tc>
        <w:tc>
          <w:tcPr>
            <w:tcW w:w="1421" w:type="dxa"/>
            <w:vAlign w:val="center"/>
          </w:tcPr>
          <w:p w14:paraId="749B3347">
            <w:pPr>
              <w:adjustRightInd w:val="0"/>
              <w:jc w:val="center"/>
            </w:pPr>
            <w:r>
              <w:rPr>
                <w:rFonts w:hint="eastAsia"/>
              </w:rPr>
              <w:t>25</w:t>
            </w:r>
          </w:p>
        </w:tc>
        <w:tc>
          <w:tcPr>
            <w:tcW w:w="1421" w:type="dxa"/>
            <w:vAlign w:val="center"/>
          </w:tcPr>
          <w:p w14:paraId="1D8C20CA">
            <w:pPr>
              <w:adjustRightInd w:val="0"/>
              <w:jc w:val="center"/>
            </w:pPr>
            <w:r>
              <w:rPr>
                <w:rFonts w:hint="eastAsia"/>
              </w:rPr>
              <w:t>100</w:t>
            </w:r>
          </w:p>
        </w:tc>
      </w:tr>
      <w:tr w14:paraId="1D13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18A192CB">
            <w:pPr>
              <w:adjustRightInd w:val="0"/>
              <w:jc w:val="center"/>
            </w:pPr>
          </w:p>
        </w:tc>
        <w:tc>
          <w:tcPr>
            <w:tcW w:w="1739" w:type="dxa"/>
            <w:vAlign w:val="center"/>
          </w:tcPr>
          <w:p w14:paraId="6E59266D">
            <w:pPr>
              <w:adjustRightInd w:val="0"/>
              <w:jc w:val="center"/>
            </w:pPr>
            <w:r>
              <w:rPr>
                <w:rFonts w:hint="eastAsia"/>
              </w:rPr>
              <w:t>学生自评综合</w:t>
            </w:r>
          </w:p>
        </w:tc>
        <w:tc>
          <w:tcPr>
            <w:tcW w:w="1420" w:type="dxa"/>
            <w:vAlign w:val="center"/>
          </w:tcPr>
          <w:p w14:paraId="5CB20494">
            <w:pPr>
              <w:adjustRightInd w:val="0"/>
              <w:jc w:val="center"/>
            </w:pPr>
            <w:r>
              <w:rPr>
                <w:rFonts w:hint="eastAsia"/>
              </w:rPr>
              <w:t>技能方法的掌握程度</w:t>
            </w:r>
          </w:p>
        </w:tc>
        <w:tc>
          <w:tcPr>
            <w:tcW w:w="1420" w:type="dxa"/>
            <w:vAlign w:val="center"/>
          </w:tcPr>
          <w:p w14:paraId="78676880">
            <w:pPr>
              <w:adjustRightInd w:val="0"/>
              <w:jc w:val="center"/>
            </w:pPr>
            <w:r>
              <w:rPr>
                <w:rFonts w:hint="eastAsia"/>
              </w:rPr>
              <w:t>实训报告</w:t>
            </w:r>
          </w:p>
        </w:tc>
        <w:tc>
          <w:tcPr>
            <w:tcW w:w="1421" w:type="dxa"/>
            <w:vAlign w:val="center"/>
          </w:tcPr>
          <w:p w14:paraId="64D64E3B">
            <w:pPr>
              <w:adjustRightInd w:val="0"/>
              <w:jc w:val="center"/>
            </w:pPr>
            <w:r>
              <w:rPr>
                <w:rFonts w:hint="eastAsia"/>
              </w:rPr>
              <w:t>55</w:t>
            </w:r>
          </w:p>
        </w:tc>
        <w:tc>
          <w:tcPr>
            <w:tcW w:w="1421" w:type="dxa"/>
            <w:vAlign w:val="center"/>
          </w:tcPr>
          <w:p w14:paraId="3F1AE963">
            <w:pPr>
              <w:adjustRightInd w:val="0"/>
              <w:jc w:val="center"/>
            </w:pPr>
            <w:r>
              <w:rPr>
                <w:rFonts w:hint="eastAsia"/>
              </w:rPr>
              <w:t>100</w:t>
            </w:r>
          </w:p>
        </w:tc>
      </w:tr>
      <w:tr w14:paraId="20CC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4C9DEFAC">
            <w:pPr>
              <w:adjustRightInd w:val="0"/>
              <w:jc w:val="center"/>
            </w:pPr>
          </w:p>
        </w:tc>
        <w:tc>
          <w:tcPr>
            <w:tcW w:w="1739" w:type="dxa"/>
            <w:vAlign w:val="center"/>
          </w:tcPr>
          <w:p w14:paraId="03D32439">
            <w:pPr>
              <w:adjustRightInd w:val="0"/>
              <w:jc w:val="center"/>
            </w:pPr>
            <w:r>
              <w:rPr>
                <w:rFonts w:hint="eastAsia"/>
              </w:rPr>
              <w:t>教师点评</w:t>
            </w:r>
          </w:p>
        </w:tc>
        <w:tc>
          <w:tcPr>
            <w:tcW w:w="1420" w:type="dxa"/>
            <w:vAlign w:val="center"/>
          </w:tcPr>
          <w:p w14:paraId="35321BFD">
            <w:pPr>
              <w:adjustRightInd w:val="0"/>
              <w:jc w:val="center"/>
            </w:pPr>
            <w:r>
              <w:rPr>
                <w:rFonts w:hint="eastAsia"/>
              </w:rPr>
              <w:t>工作方案设计实施能力</w:t>
            </w:r>
          </w:p>
        </w:tc>
        <w:tc>
          <w:tcPr>
            <w:tcW w:w="1420" w:type="dxa"/>
            <w:vAlign w:val="center"/>
          </w:tcPr>
          <w:p w14:paraId="6D60C6DB">
            <w:pPr>
              <w:adjustRightInd w:val="0"/>
              <w:jc w:val="center"/>
            </w:pPr>
            <w:r>
              <w:rPr>
                <w:rFonts w:hint="eastAsia"/>
              </w:rPr>
              <w:t>总结作业</w:t>
            </w:r>
          </w:p>
        </w:tc>
        <w:tc>
          <w:tcPr>
            <w:tcW w:w="1421" w:type="dxa"/>
            <w:vAlign w:val="center"/>
          </w:tcPr>
          <w:p w14:paraId="62A6653F">
            <w:pPr>
              <w:adjustRightInd w:val="0"/>
              <w:jc w:val="center"/>
            </w:pPr>
            <w:r>
              <w:rPr>
                <w:rFonts w:hint="eastAsia"/>
              </w:rPr>
              <w:t>20</w:t>
            </w:r>
          </w:p>
        </w:tc>
        <w:tc>
          <w:tcPr>
            <w:tcW w:w="1421" w:type="dxa"/>
            <w:vAlign w:val="center"/>
          </w:tcPr>
          <w:p w14:paraId="52D09020">
            <w:pPr>
              <w:adjustRightInd w:val="0"/>
              <w:jc w:val="center"/>
            </w:pPr>
            <w:r>
              <w:rPr>
                <w:rFonts w:hint="eastAsia"/>
              </w:rPr>
              <w:t>100</w:t>
            </w:r>
          </w:p>
        </w:tc>
      </w:tr>
      <w:tr w14:paraId="71D7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vAlign w:val="center"/>
          </w:tcPr>
          <w:p w14:paraId="55149DF4">
            <w:pPr>
              <w:adjustRightInd w:val="0"/>
              <w:jc w:val="center"/>
            </w:pPr>
            <w:r>
              <w:rPr>
                <w:rFonts w:hint="eastAsia"/>
              </w:rPr>
              <w:t>合计</w:t>
            </w:r>
          </w:p>
        </w:tc>
        <w:tc>
          <w:tcPr>
            <w:tcW w:w="2840" w:type="dxa"/>
            <w:gridSpan w:val="2"/>
            <w:vAlign w:val="center"/>
          </w:tcPr>
          <w:p w14:paraId="01F555E4">
            <w:pPr>
              <w:adjustRightInd w:val="0"/>
              <w:jc w:val="center"/>
            </w:pPr>
          </w:p>
        </w:tc>
        <w:tc>
          <w:tcPr>
            <w:tcW w:w="1421" w:type="dxa"/>
            <w:vAlign w:val="center"/>
          </w:tcPr>
          <w:p w14:paraId="5A83265F">
            <w:pPr>
              <w:adjustRightInd w:val="0"/>
              <w:jc w:val="center"/>
            </w:pPr>
            <w:r>
              <w:rPr>
                <w:rFonts w:hint="eastAsia"/>
              </w:rPr>
              <w:t>100</w:t>
            </w:r>
          </w:p>
        </w:tc>
        <w:tc>
          <w:tcPr>
            <w:tcW w:w="1421" w:type="dxa"/>
            <w:vAlign w:val="center"/>
          </w:tcPr>
          <w:p w14:paraId="5861D790">
            <w:pPr>
              <w:adjustRightInd w:val="0"/>
              <w:jc w:val="center"/>
            </w:pPr>
            <w:r>
              <w:rPr>
                <w:rFonts w:hint="eastAsia"/>
              </w:rPr>
              <w:t>100</w:t>
            </w:r>
          </w:p>
        </w:tc>
      </w:tr>
    </w:tbl>
    <w:p w14:paraId="5AE6011A">
      <w:pPr>
        <w:spacing w:line="400" w:lineRule="exact"/>
        <w:ind w:firstLine="480" w:firstLineChars="200"/>
        <w:rPr>
          <w:sz w:val="24"/>
          <w:szCs w:val="24"/>
        </w:rPr>
      </w:pPr>
      <w:r>
        <w:rPr>
          <w:rFonts w:hint="eastAsia" w:ascii="仿宋_GB2312" w:hAnsi="Times New Roman" w:eastAsia="仿宋_GB2312" w:cs="Times New Roman"/>
          <w:sz w:val="24"/>
          <w:szCs w:val="24"/>
        </w:rPr>
        <w:t>本课程最终考核成绩将按照平时成绩30%，操作成绩40%和竞赛成绩30%折合计算。平时成绩将有课后成绩和课堂学习表现综合确定，实践测试将采取模拟经营，根据运营成绩进行分数判定。</w:t>
      </w:r>
    </w:p>
    <w:p w14:paraId="1EC1B9DD">
      <w:pPr>
        <w:pStyle w:val="17"/>
        <w:spacing w:after="0" w:line="400" w:lineRule="exact"/>
        <w:ind w:firstLine="480" w:firstLineChars="200"/>
        <w:rPr>
          <w:sz w:val="24"/>
          <w:szCs w:val="24"/>
        </w:rPr>
      </w:pPr>
      <w:r>
        <w:rPr>
          <w:rFonts w:hint="eastAsia"/>
          <w:sz w:val="24"/>
          <w:szCs w:val="24"/>
        </w:rPr>
        <w:t>3.教学条件</w:t>
      </w:r>
    </w:p>
    <w:p w14:paraId="0BBC96E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校内有一支结构合理、素质优良、具有良好职业修养的“双师素质”教师队伍，校外有一批既具有丰富的会计实际工作经验，又具有一定理论基础的会计专家参与学习领域课程标准的制定。</w:t>
      </w:r>
    </w:p>
    <w:p w14:paraId="65EBF7CD">
      <w:pPr>
        <w:pStyle w:val="17"/>
        <w:spacing w:after="0" w:line="400" w:lineRule="exact"/>
        <w:ind w:firstLine="480" w:firstLineChars="200"/>
        <w:rPr>
          <w:bCs/>
          <w:sz w:val="24"/>
          <w:szCs w:val="24"/>
        </w:rPr>
      </w:pPr>
      <w:r>
        <w:rPr>
          <w:rFonts w:hint="eastAsia"/>
          <w:bCs/>
          <w:sz w:val="24"/>
          <w:szCs w:val="24"/>
        </w:rPr>
        <w:t>4.教材编选</w:t>
      </w:r>
    </w:p>
    <w:p w14:paraId="557C403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5360C9A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（2）教材的教学内容能够很好地反映经济法基础的新颖性、科学性和实用性。注重教学改革成果。</w:t>
      </w:r>
    </w:p>
    <w:p w14:paraId="1DE888C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6EB2E82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（4）本行业典型企业的资源，加强校企合作，建立实习实训基地，进行实训课程资源的开发，同时为学生的就业提供机会，开创就业渠道。</w:t>
      </w:r>
    </w:p>
    <w:p w14:paraId="1AD01B9B">
      <w:pPr>
        <w:rPr>
          <w:rFonts w:ascii="黑体" w:hAnsi="黑体" w:eastAsia="黑体"/>
          <w:sz w:val="28"/>
          <w:szCs w:val="28"/>
        </w:rPr>
      </w:pPr>
      <w:r>
        <w:rPr>
          <w:rFonts w:ascii="黑体" w:hAnsi="黑体" w:eastAsia="黑体"/>
          <w:sz w:val="28"/>
          <w:szCs w:val="28"/>
        </w:rPr>
        <w:br w:type="page"/>
      </w:r>
    </w:p>
    <w:p w14:paraId="74A46C9B">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42"/>
        <w:tblW w:w="5000" w:type="pct"/>
        <w:tblInd w:w="0" w:type="dxa"/>
        <w:tblLayout w:type="autofit"/>
        <w:tblCellMar>
          <w:top w:w="0" w:type="dxa"/>
          <w:left w:w="108" w:type="dxa"/>
          <w:bottom w:w="0" w:type="dxa"/>
          <w:right w:w="108" w:type="dxa"/>
        </w:tblCellMar>
      </w:tblPr>
      <w:tblGrid>
        <w:gridCol w:w="1438"/>
        <w:gridCol w:w="4766"/>
        <w:gridCol w:w="1133"/>
        <w:gridCol w:w="1185"/>
      </w:tblGrid>
      <w:tr w14:paraId="7EE04E0C">
        <w:tblPrEx>
          <w:tblCellMar>
            <w:top w:w="0" w:type="dxa"/>
            <w:left w:w="108" w:type="dxa"/>
            <w:bottom w:w="0" w:type="dxa"/>
            <w:right w:w="108" w:type="dxa"/>
          </w:tblCellMar>
        </w:tblPrEx>
        <w:trPr>
          <w:trHeight w:val="510" w:hRule="atLeast"/>
        </w:trPr>
        <w:tc>
          <w:tcPr>
            <w:tcW w:w="844" w:type="pct"/>
            <w:tcBorders>
              <w:top w:val="single" w:color="auto" w:sz="4" w:space="0"/>
              <w:left w:val="single" w:color="auto" w:sz="4" w:space="0"/>
              <w:bottom w:val="single" w:color="auto" w:sz="4" w:space="0"/>
              <w:right w:val="single" w:color="auto" w:sz="4" w:space="0"/>
            </w:tcBorders>
            <w:shd w:val="clear" w:color="000000" w:fill="BFBFBF"/>
            <w:vAlign w:val="center"/>
          </w:tcPr>
          <w:p w14:paraId="58CE4917">
            <w:pPr>
              <w:widowControl/>
              <w:jc w:val="center"/>
              <w:rPr>
                <w:b/>
                <w:bCs/>
                <w:color w:val="000000"/>
              </w:rPr>
            </w:pPr>
            <w:r>
              <w:rPr>
                <w:rFonts w:hint="eastAsia"/>
                <w:b/>
                <w:bCs/>
                <w:color w:val="000000"/>
              </w:rPr>
              <w:t>周次</w:t>
            </w:r>
          </w:p>
        </w:tc>
        <w:tc>
          <w:tcPr>
            <w:tcW w:w="2796" w:type="pct"/>
            <w:tcBorders>
              <w:top w:val="single" w:color="auto" w:sz="4" w:space="0"/>
              <w:left w:val="nil"/>
              <w:bottom w:val="single" w:color="auto" w:sz="4" w:space="0"/>
              <w:right w:val="single" w:color="auto" w:sz="4" w:space="0"/>
            </w:tcBorders>
            <w:shd w:val="clear" w:color="000000" w:fill="BFBFBF"/>
            <w:vAlign w:val="center"/>
          </w:tcPr>
          <w:p w14:paraId="1AE84C99">
            <w:pPr>
              <w:widowControl/>
              <w:jc w:val="center"/>
              <w:rPr>
                <w:b/>
                <w:bCs/>
                <w:color w:val="000000"/>
              </w:rPr>
            </w:pPr>
            <w:r>
              <w:rPr>
                <w:rFonts w:hint="eastAsia"/>
                <w:b/>
                <w:bCs/>
                <w:color w:val="000000"/>
              </w:rPr>
              <w:t>教学章节</w:t>
            </w:r>
          </w:p>
        </w:tc>
        <w:tc>
          <w:tcPr>
            <w:tcW w:w="665" w:type="pct"/>
            <w:tcBorders>
              <w:top w:val="single" w:color="auto" w:sz="4" w:space="0"/>
              <w:left w:val="nil"/>
              <w:bottom w:val="single" w:color="auto" w:sz="4" w:space="0"/>
              <w:right w:val="single" w:color="auto" w:sz="4" w:space="0"/>
            </w:tcBorders>
            <w:shd w:val="clear" w:color="000000" w:fill="BFBFBF"/>
            <w:vAlign w:val="center"/>
          </w:tcPr>
          <w:p w14:paraId="76B1BC0D">
            <w:pPr>
              <w:widowControl/>
              <w:jc w:val="center"/>
              <w:rPr>
                <w:b/>
                <w:bCs/>
                <w:color w:val="000000"/>
              </w:rPr>
            </w:pPr>
            <w:r>
              <w:rPr>
                <w:rFonts w:hint="eastAsia"/>
                <w:b/>
                <w:bCs/>
                <w:color w:val="000000"/>
              </w:rPr>
              <w:t>授课时数（节）</w:t>
            </w:r>
          </w:p>
        </w:tc>
        <w:tc>
          <w:tcPr>
            <w:tcW w:w="695" w:type="pct"/>
            <w:tcBorders>
              <w:top w:val="single" w:color="auto" w:sz="4" w:space="0"/>
              <w:left w:val="nil"/>
              <w:bottom w:val="single" w:color="auto" w:sz="4" w:space="0"/>
              <w:right w:val="single" w:color="auto" w:sz="4" w:space="0"/>
            </w:tcBorders>
            <w:shd w:val="clear" w:color="000000" w:fill="BFBFBF"/>
            <w:vAlign w:val="center"/>
          </w:tcPr>
          <w:p w14:paraId="59266EF9">
            <w:pPr>
              <w:widowControl/>
              <w:jc w:val="center"/>
              <w:rPr>
                <w:b/>
                <w:bCs/>
                <w:color w:val="000000"/>
              </w:rPr>
            </w:pPr>
            <w:r>
              <w:rPr>
                <w:rFonts w:hint="eastAsia"/>
                <w:b/>
                <w:bCs/>
                <w:color w:val="000000"/>
              </w:rPr>
              <w:t>主要教学形式</w:t>
            </w:r>
          </w:p>
        </w:tc>
      </w:tr>
      <w:tr w14:paraId="700B04C1">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534DAB0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w:t>
            </w:r>
          </w:p>
        </w:tc>
        <w:tc>
          <w:tcPr>
            <w:tcW w:w="2796" w:type="pct"/>
            <w:tcBorders>
              <w:top w:val="nil"/>
              <w:left w:val="nil"/>
              <w:bottom w:val="single" w:color="auto" w:sz="4" w:space="0"/>
              <w:right w:val="single" w:color="auto" w:sz="4" w:space="0"/>
            </w:tcBorders>
            <w:shd w:val="clear" w:color="auto" w:fill="auto"/>
            <w:vAlign w:val="center"/>
          </w:tcPr>
          <w:p w14:paraId="5B9988F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学习实训室纪律与规范</w:t>
            </w:r>
          </w:p>
        </w:tc>
        <w:tc>
          <w:tcPr>
            <w:tcW w:w="665" w:type="pct"/>
            <w:tcBorders>
              <w:top w:val="nil"/>
              <w:left w:val="nil"/>
              <w:bottom w:val="single" w:color="auto" w:sz="4" w:space="0"/>
              <w:right w:val="single" w:color="auto" w:sz="4" w:space="0"/>
            </w:tcBorders>
            <w:shd w:val="clear" w:color="auto" w:fill="auto"/>
            <w:vAlign w:val="center"/>
          </w:tcPr>
          <w:p w14:paraId="4D17669D">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7833B8CD">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4D4DAA7F">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3A7365BF">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2796" w:type="pct"/>
            <w:tcBorders>
              <w:top w:val="nil"/>
              <w:left w:val="nil"/>
              <w:bottom w:val="single" w:color="auto" w:sz="4" w:space="0"/>
              <w:right w:val="single" w:color="auto" w:sz="4" w:space="0"/>
            </w:tcBorders>
            <w:shd w:val="clear" w:color="auto" w:fill="auto"/>
            <w:vAlign w:val="center"/>
          </w:tcPr>
          <w:p w14:paraId="723506D3">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认知企业沙盘</w:t>
            </w:r>
          </w:p>
        </w:tc>
        <w:tc>
          <w:tcPr>
            <w:tcW w:w="665" w:type="pct"/>
            <w:tcBorders>
              <w:top w:val="nil"/>
              <w:left w:val="nil"/>
              <w:bottom w:val="single" w:color="auto" w:sz="4" w:space="0"/>
              <w:right w:val="single" w:color="auto" w:sz="4" w:space="0"/>
            </w:tcBorders>
            <w:shd w:val="clear" w:color="auto" w:fill="auto"/>
            <w:vAlign w:val="center"/>
          </w:tcPr>
          <w:p w14:paraId="4B0E5B94">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7DA127AB">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62DD7087">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312DE834">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3</w:t>
            </w:r>
          </w:p>
        </w:tc>
        <w:tc>
          <w:tcPr>
            <w:tcW w:w="2796" w:type="pct"/>
            <w:tcBorders>
              <w:top w:val="nil"/>
              <w:left w:val="nil"/>
              <w:bottom w:val="single" w:color="auto" w:sz="4" w:space="0"/>
              <w:right w:val="single" w:color="auto" w:sz="4" w:space="0"/>
            </w:tcBorders>
            <w:shd w:val="clear" w:color="auto" w:fill="auto"/>
            <w:vAlign w:val="center"/>
          </w:tcPr>
          <w:p w14:paraId="25162051">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熟悉企业经营规则</w:t>
            </w:r>
          </w:p>
        </w:tc>
        <w:tc>
          <w:tcPr>
            <w:tcW w:w="665" w:type="pct"/>
            <w:tcBorders>
              <w:top w:val="nil"/>
              <w:left w:val="nil"/>
              <w:bottom w:val="single" w:color="auto" w:sz="4" w:space="0"/>
              <w:right w:val="single" w:color="auto" w:sz="4" w:space="0"/>
            </w:tcBorders>
            <w:shd w:val="clear" w:color="auto" w:fill="auto"/>
            <w:vAlign w:val="center"/>
          </w:tcPr>
          <w:p w14:paraId="08DFB7C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0203132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51BF4479">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602D136D">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4</w:t>
            </w:r>
          </w:p>
        </w:tc>
        <w:tc>
          <w:tcPr>
            <w:tcW w:w="2796" w:type="pct"/>
            <w:tcBorders>
              <w:top w:val="nil"/>
              <w:left w:val="nil"/>
              <w:bottom w:val="single" w:color="auto" w:sz="4" w:space="0"/>
              <w:right w:val="single" w:color="auto" w:sz="4" w:space="0"/>
            </w:tcBorders>
            <w:shd w:val="clear" w:color="auto" w:fill="auto"/>
            <w:vAlign w:val="center"/>
          </w:tcPr>
          <w:p w14:paraId="0D783E4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熟悉、分析市场规则及预测</w:t>
            </w:r>
          </w:p>
        </w:tc>
        <w:tc>
          <w:tcPr>
            <w:tcW w:w="665" w:type="pct"/>
            <w:tcBorders>
              <w:top w:val="nil"/>
              <w:left w:val="nil"/>
              <w:bottom w:val="single" w:color="auto" w:sz="4" w:space="0"/>
              <w:right w:val="single" w:color="auto" w:sz="4" w:space="0"/>
            </w:tcBorders>
            <w:shd w:val="clear" w:color="auto" w:fill="auto"/>
            <w:vAlign w:val="center"/>
          </w:tcPr>
          <w:p w14:paraId="1B210D84">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0700B84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795702D8">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791B9872">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5</w:t>
            </w:r>
          </w:p>
        </w:tc>
        <w:tc>
          <w:tcPr>
            <w:tcW w:w="2796" w:type="pct"/>
            <w:tcBorders>
              <w:top w:val="nil"/>
              <w:left w:val="nil"/>
              <w:bottom w:val="single" w:color="auto" w:sz="4" w:space="0"/>
              <w:right w:val="single" w:color="auto" w:sz="4" w:space="0"/>
            </w:tcBorders>
            <w:shd w:val="clear" w:color="auto" w:fill="auto"/>
            <w:vAlign w:val="center"/>
          </w:tcPr>
          <w:p w14:paraId="1F26F9A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熟悉物理沙盘操作</w:t>
            </w:r>
          </w:p>
        </w:tc>
        <w:tc>
          <w:tcPr>
            <w:tcW w:w="665" w:type="pct"/>
            <w:tcBorders>
              <w:top w:val="nil"/>
              <w:left w:val="nil"/>
              <w:bottom w:val="single" w:color="auto" w:sz="4" w:space="0"/>
              <w:right w:val="single" w:color="auto" w:sz="4" w:space="0"/>
            </w:tcBorders>
            <w:shd w:val="clear" w:color="auto" w:fill="auto"/>
            <w:vAlign w:val="center"/>
          </w:tcPr>
          <w:p w14:paraId="695295C2">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3C5C85A9">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14DCBE82">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1F72D48B">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6</w:t>
            </w:r>
          </w:p>
        </w:tc>
        <w:tc>
          <w:tcPr>
            <w:tcW w:w="2796" w:type="pct"/>
            <w:tcBorders>
              <w:top w:val="nil"/>
              <w:left w:val="nil"/>
              <w:bottom w:val="single" w:color="auto" w:sz="4" w:space="0"/>
              <w:right w:val="single" w:color="auto" w:sz="4" w:space="0"/>
            </w:tcBorders>
            <w:shd w:val="clear" w:color="auto" w:fill="auto"/>
            <w:vAlign w:val="center"/>
          </w:tcPr>
          <w:p w14:paraId="6BC3F79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编制综合费用表、利润表和资产负债表</w:t>
            </w:r>
          </w:p>
        </w:tc>
        <w:tc>
          <w:tcPr>
            <w:tcW w:w="665" w:type="pct"/>
            <w:tcBorders>
              <w:top w:val="nil"/>
              <w:left w:val="nil"/>
              <w:bottom w:val="single" w:color="auto" w:sz="4" w:space="0"/>
              <w:right w:val="single" w:color="auto" w:sz="4" w:space="0"/>
            </w:tcBorders>
            <w:shd w:val="clear" w:color="auto" w:fill="auto"/>
            <w:vAlign w:val="center"/>
          </w:tcPr>
          <w:p w14:paraId="3E983FC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2FF19B5A">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0FBD80D9">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1EEC219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7</w:t>
            </w:r>
          </w:p>
        </w:tc>
        <w:tc>
          <w:tcPr>
            <w:tcW w:w="2796" w:type="pct"/>
            <w:tcBorders>
              <w:top w:val="nil"/>
              <w:left w:val="nil"/>
              <w:bottom w:val="single" w:color="auto" w:sz="4" w:space="0"/>
              <w:right w:val="single" w:color="auto" w:sz="4" w:space="0"/>
            </w:tcBorders>
            <w:shd w:val="clear" w:color="auto" w:fill="auto"/>
            <w:vAlign w:val="center"/>
          </w:tcPr>
          <w:p w14:paraId="13D75E0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市场分析、团队合作、沟通协调</w:t>
            </w:r>
          </w:p>
        </w:tc>
        <w:tc>
          <w:tcPr>
            <w:tcW w:w="665" w:type="pct"/>
            <w:tcBorders>
              <w:top w:val="nil"/>
              <w:left w:val="nil"/>
              <w:bottom w:val="single" w:color="auto" w:sz="4" w:space="0"/>
              <w:right w:val="single" w:color="auto" w:sz="4" w:space="0"/>
            </w:tcBorders>
            <w:shd w:val="clear" w:color="auto" w:fill="auto"/>
            <w:vAlign w:val="center"/>
          </w:tcPr>
          <w:p w14:paraId="0D5D7432">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vAlign w:val="center"/>
          </w:tcPr>
          <w:p w14:paraId="74C798A0">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77B7072E">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22504623">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8</w:t>
            </w:r>
          </w:p>
        </w:tc>
        <w:tc>
          <w:tcPr>
            <w:tcW w:w="2796" w:type="pct"/>
            <w:tcBorders>
              <w:top w:val="nil"/>
              <w:left w:val="nil"/>
              <w:bottom w:val="single" w:color="auto" w:sz="4" w:space="0"/>
              <w:right w:val="single" w:color="auto" w:sz="4" w:space="0"/>
            </w:tcBorders>
            <w:shd w:val="clear" w:color="auto" w:fill="auto"/>
            <w:vAlign w:val="center"/>
          </w:tcPr>
          <w:p w14:paraId="02BC1D1F">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产能计算、换位思考、预算、细节等方法</w:t>
            </w:r>
          </w:p>
        </w:tc>
        <w:tc>
          <w:tcPr>
            <w:tcW w:w="665" w:type="pct"/>
            <w:tcBorders>
              <w:top w:val="nil"/>
              <w:left w:val="nil"/>
              <w:bottom w:val="single" w:color="auto" w:sz="4" w:space="0"/>
              <w:right w:val="single" w:color="auto" w:sz="4" w:space="0"/>
            </w:tcBorders>
            <w:shd w:val="clear" w:color="auto" w:fill="auto"/>
            <w:vAlign w:val="center"/>
          </w:tcPr>
          <w:p w14:paraId="5506E620">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416E9421">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2AD0A3C4">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34F31494">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9</w:t>
            </w:r>
          </w:p>
        </w:tc>
        <w:tc>
          <w:tcPr>
            <w:tcW w:w="2796" w:type="pct"/>
            <w:tcBorders>
              <w:top w:val="nil"/>
              <w:left w:val="nil"/>
              <w:bottom w:val="nil"/>
              <w:right w:val="single" w:color="auto" w:sz="4" w:space="0"/>
            </w:tcBorders>
            <w:shd w:val="clear" w:color="auto" w:fill="auto"/>
            <w:vAlign w:val="center"/>
          </w:tcPr>
          <w:p w14:paraId="6833F09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企业年度规划、业务计划、年度总结的实施方法</w:t>
            </w:r>
          </w:p>
        </w:tc>
        <w:tc>
          <w:tcPr>
            <w:tcW w:w="665" w:type="pct"/>
            <w:tcBorders>
              <w:top w:val="nil"/>
              <w:left w:val="nil"/>
              <w:bottom w:val="single" w:color="auto" w:sz="4" w:space="0"/>
              <w:right w:val="single" w:color="auto" w:sz="4" w:space="0"/>
            </w:tcBorders>
            <w:shd w:val="clear" w:color="auto" w:fill="auto"/>
            <w:vAlign w:val="center"/>
          </w:tcPr>
          <w:p w14:paraId="54F4EA7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03A41060">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4F073703">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009F1C5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10</w:t>
            </w:r>
          </w:p>
        </w:tc>
        <w:tc>
          <w:tcPr>
            <w:tcW w:w="4156" w:type="pct"/>
            <w:gridSpan w:val="3"/>
            <w:tcBorders>
              <w:top w:val="single" w:color="auto" w:sz="4" w:space="0"/>
              <w:left w:val="nil"/>
              <w:bottom w:val="single" w:color="auto" w:sz="4" w:space="0"/>
              <w:right w:val="single" w:color="000000" w:sz="4" w:space="0"/>
            </w:tcBorders>
            <w:shd w:val="clear" w:color="auto" w:fill="auto"/>
            <w:vAlign w:val="center"/>
          </w:tcPr>
          <w:p w14:paraId="20CE5A4A">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期中考试</w:t>
            </w:r>
          </w:p>
        </w:tc>
      </w:tr>
      <w:tr w14:paraId="5F0E04CC">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6BCCA1B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11</w:t>
            </w:r>
          </w:p>
        </w:tc>
        <w:tc>
          <w:tcPr>
            <w:tcW w:w="2796" w:type="pct"/>
            <w:tcBorders>
              <w:top w:val="nil"/>
              <w:left w:val="nil"/>
              <w:bottom w:val="single" w:color="auto" w:sz="4" w:space="0"/>
              <w:right w:val="single" w:color="auto" w:sz="4" w:space="0"/>
            </w:tcBorders>
            <w:shd w:val="clear" w:color="auto" w:fill="auto"/>
            <w:vAlign w:val="center"/>
          </w:tcPr>
          <w:p w14:paraId="1C657CA9">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总结分析，并完成实训报告</w:t>
            </w:r>
          </w:p>
        </w:tc>
        <w:tc>
          <w:tcPr>
            <w:tcW w:w="665" w:type="pct"/>
            <w:tcBorders>
              <w:top w:val="nil"/>
              <w:left w:val="nil"/>
              <w:bottom w:val="single" w:color="auto" w:sz="4" w:space="0"/>
              <w:right w:val="single" w:color="auto" w:sz="4" w:space="0"/>
            </w:tcBorders>
            <w:shd w:val="clear" w:color="auto" w:fill="auto"/>
            <w:vAlign w:val="center"/>
          </w:tcPr>
          <w:p w14:paraId="63CFD77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1F073811">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5DF553F2">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72B8BC49">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12</w:t>
            </w:r>
          </w:p>
        </w:tc>
        <w:tc>
          <w:tcPr>
            <w:tcW w:w="2796" w:type="pct"/>
            <w:tcBorders>
              <w:top w:val="nil"/>
              <w:left w:val="nil"/>
              <w:bottom w:val="single" w:color="auto" w:sz="4" w:space="0"/>
              <w:right w:val="single" w:color="auto" w:sz="4" w:space="0"/>
            </w:tcBorders>
            <w:shd w:val="clear" w:color="auto" w:fill="auto"/>
            <w:vAlign w:val="center"/>
          </w:tcPr>
          <w:p w14:paraId="1B0557F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获取数据、分析运用数据</w:t>
            </w:r>
          </w:p>
        </w:tc>
        <w:tc>
          <w:tcPr>
            <w:tcW w:w="665" w:type="pct"/>
            <w:tcBorders>
              <w:top w:val="nil"/>
              <w:left w:val="nil"/>
              <w:bottom w:val="single" w:color="auto" w:sz="4" w:space="0"/>
              <w:right w:val="single" w:color="auto" w:sz="4" w:space="0"/>
            </w:tcBorders>
            <w:shd w:val="clear" w:color="auto" w:fill="auto"/>
            <w:vAlign w:val="center"/>
          </w:tcPr>
          <w:p w14:paraId="1873CD3A">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3A05C0EB">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2B92EEAA">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4CC993BC">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13</w:t>
            </w:r>
          </w:p>
        </w:tc>
        <w:tc>
          <w:tcPr>
            <w:tcW w:w="2796" w:type="pct"/>
            <w:tcBorders>
              <w:top w:val="nil"/>
              <w:left w:val="nil"/>
              <w:bottom w:val="single" w:color="auto" w:sz="4" w:space="0"/>
              <w:right w:val="single" w:color="auto" w:sz="4" w:space="0"/>
            </w:tcBorders>
            <w:shd w:val="clear" w:color="auto" w:fill="auto"/>
            <w:vAlign w:val="center"/>
          </w:tcPr>
          <w:p w14:paraId="4ECBE2F0">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解读企业经营的全局策略</w:t>
            </w:r>
          </w:p>
        </w:tc>
        <w:tc>
          <w:tcPr>
            <w:tcW w:w="665" w:type="pct"/>
            <w:tcBorders>
              <w:top w:val="nil"/>
              <w:left w:val="nil"/>
              <w:bottom w:val="single" w:color="auto" w:sz="4" w:space="0"/>
              <w:right w:val="single" w:color="auto" w:sz="4" w:space="0"/>
            </w:tcBorders>
            <w:shd w:val="clear" w:color="auto" w:fill="auto"/>
            <w:vAlign w:val="center"/>
          </w:tcPr>
          <w:p w14:paraId="2084916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087A8C2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17674881">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423BDE8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14</w:t>
            </w:r>
          </w:p>
        </w:tc>
        <w:tc>
          <w:tcPr>
            <w:tcW w:w="2796" w:type="pct"/>
            <w:tcBorders>
              <w:top w:val="nil"/>
              <w:left w:val="nil"/>
              <w:bottom w:val="single" w:color="auto" w:sz="4" w:space="0"/>
              <w:right w:val="single" w:color="auto" w:sz="4" w:space="0"/>
            </w:tcBorders>
            <w:shd w:val="clear" w:color="auto" w:fill="auto"/>
            <w:vAlign w:val="center"/>
          </w:tcPr>
          <w:p w14:paraId="5C31FB1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经营操作，理解相关理论</w:t>
            </w:r>
          </w:p>
        </w:tc>
        <w:tc>
          <w:tcPr>
            <w:tcW w:w="665" w:type="pct"/>
            <w:tcBorders>
              <w:top w:val="nil"/>
              <w:left w:val="nil"/>
              <w:bottom w:val="single" w:color="auto" w:sz="4" w:space="0"/>
              <w:right w:val="single" w:color="auto" w:sz="4" w:space="0"/>
            </w:tcBorders>
            <w:shd w:val="clear" w:color="auto" w:fill="auto"/>
            <w:vAlign w:val="center"/>
          </w:tcPr>
          <w:p w14:paraId="2AF1E6E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0A0BADA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183039E9">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582E4776">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15</w:t>
            </w:r>
          </w:p>
        </w:tc>
        <w:tc>
          <w:tcPr>
            <w:tcW w:w="2796" w:type="pct"/>
            <w:tcBorders>
              <w:top w:val="nil"/>
              <w:left w:val="nil"/>
              <w:bottom w:val="single" w:color="auto" w:sz="4" w:space="0"/>
              <w:right w:val="single" w:color="auto" w:sz="4" w:space="0"/>
            </w:tcBorders>
            <w:shd w:val="clear" w:color="auto" w:fill="auto"/>
            <w:vAlign w:val="center"/>
          </w:tcPr>
          <w:p w14:paraId="403C358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分析企业处于困境的原因和相应的解决措施</w:t>
            </w:r>
          </w:p>
        </w:tc>
        <w:tc>
          <w:tcPr>
            <w:tcW w:w="665" w:type="pct"/>
            <w:tcBorders>
              <w:top w:val="nil"/>
              <w:left w:val="nil"/>
              <w:bottom w:val="single" w:color="auto" w:sz="4" w:space="0"/>
              <w:right w:val="single" w:color="auto" w:sz="4" w:space="0"/>
            </w:tcBorders>
            <w:shd w:val="clear" w:color="auto" w:fill="auto"/>
            <w:vAlign w:val="center"/>
          </w:tcPr>
          <w:p w14:paraId="64E266B9">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2F2DB044">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63921B24">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6F0820D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16</w:t>
            </w:r>
          </w:p>
        </w:tc>
        <w:tc>
          <w:tcPr>
            <w:tcW w:w="2796" w:type="pct"/>
            <w:tcBorders>
              <w:top w:val="nil"/>
              <w:left w:val="nil"/>
              <w:bottom w:val="single" w:color="auto" w:sz="4" w:space="0"/>
              <w:right w:val="single" w:color="auto" w:sz="4" w:space="0"/>
            </w:tcBorders>
            <w:shd w:val="clear" w:color="auto" w:fill="auto"/>
            <w:vAlign w:val="center"/>
          </w:tcPr>
          <w:p w14:paraId="7F17B45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随机应变的方法</w:t>
            </w:r>
          </w:p>
        </w:tc>
        <w:tc>
          <w:tcPr>
            <w:tcW w:w="665" w:type="pct"/>
            <w:tcBorders>
              <w:top w:val="nil"/>
              <w:left w:val="nil"/>
              <w:bottom w:val="single" w:color="auto" w:sz="4" w:space="0"/>
              <w:right w:val="single" w:color="auto" w:sz="4" w:space="0"/>
            </w:tcBorders>
            <w:shd w:val="clear" w:color="auto" w:fill="auto"/>
            <w:vAlign w:val="center"/>
          </w:tcPr>
          <w:p w14:paraId="774C0F0F">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6F46F69D">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421B8AD9">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25EE70D3">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17</w:t>
            </w:r>
          </w:p>
        </w:tc>
        <w:tc>
          <w:tcPr>
            <w:tcW w:w="2796" w:type="pct"/>
            <w:tcBorders>
              <w:top w:val="nil"/>
              <w:left w:val="nil"/>
              <w:bottom w:val="single" w:color="auto" w:sz="4" w:space="0"/>
              <w:right w:val="single" w:color="auto" w:sz="4" w:space="0"/>
            </w:tcBorders>
            <w:shd w:val="clear" w:color="auto" w:fill="auto"/>
            <w:vAlign w:val="center"/>
          </w:tcPr>
          <w:p w14:paraId="7F032F40">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企业模拟经营练习1</w:t>
            </w:r>
          </w:p>
        </w:tc>
        <w:tc>
          <w:tcPr>
            <w:tcW w:w="665" w:type="pct"/>
            <w:tcBorders>
              <w:top w:val="nil"/>
              <w:left w:val="nil"/>
              <w:bottom w:val="single" w:color="auto" w:sz="4" w:space="0"/>
              <w:right w:val="single" w:color="auto" w:sz="4" w:space="0"/>
            </w:tcBorders>
            <w:shd w:val="clear" w:color="auto" w:fill="auto"/>
            <w:vAlign w:val="center"/>
          </w:tcPr>
          <w:p w14:paraId="2AC2A175">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65080B2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360273D6">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3332D7BA">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18</w:t>
            </w:r>
          </w:p>
        </w:tc>
        <w:tc>
          <w:tcPr>
            <w:tcW w:w="2796" w:type="pct"/>
            <w:tcBorders>
              <w:top w:val="nil"/>
              <w:left w:val="nil"/>
              <w:bottom w:val="single" w:color="auto" w:sz="4" w:space="0"/>
              <w:right w:val="single" w:color="auto" w:sz="4" w:space="0"/>
            </w:tcBorders>
            <w:shd w:val="clear" w:color="auto" w:fill="auto"/>
            <w:vAlign w:val="center"/>
          </w:tcPr>
          <w:p w14:paraId="40E424FF">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企业模拟经营练习2</w:t>
            </w:r>
          </w:p>
        </w:tc>
        <w:tc>
          <w:tcPr>
            <w:tcW w:w="665" w:type="pct"/>
            <w:tcBorders>
              <w:top w:val="nil"/>
              <w:left w:val="nil"/>
              <w:bottom w:val="single" w:color="auto" w:sz="4" w:space="0"/>
              <w:right w:val="single" w:color="auto" w:sz="4" w:space="0"/>
            </w:tcBorders>
            <w:shd w:val="clear" w:color="auto" w:fill="auto"/>
            <w:vAlign w:val="center"/>
          </w:tcPr>
          <w:p w14:paraId="2A3E5883">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00D25647">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008D0B4C">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4167F0A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19</w:t>
            </w:r>
          </w:p>
        </w:tc>
        <w:tc>
          <w:tcPr>
            <w:tcW w:w="2796" w:type="pct"/>
            <w:tcBorders>
              <w:top w:val="nil"/>
              <w:left w:val="nil"/>
              <w:bottom w:val="single" w:color="auto" w:sz="4" w:space="0"/>
              <w:right w:val="single" w:color="auto" w:sz="4" w:space="0"/>
            </w:tcBorders>
            <w:shd w:val="clear" w:color="auto" w:fill="auto"/>
            <w:vAlign w:val="center"/>
          </w:tcPr>
          <w:p w14:paraId="5E2F5CB1">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总结分析</w:t>
            </w:r>
          </w:p>
        </w:tc>
        <w:tc>
          <w:tcPr>
            <w:tcW w:w="665" w:type="pct"/>
            <w:tcBorders>
              <w:top w:val="nil"/>
              <w:left w:val="nil"/>
              <w:bottom w:val="single" w:color="auto" w:sz="4" w:space="0"/>
              <w:right w:val="single" w:color="auto" w:sz="4" w:space="0"/>
            </w:tcBorders>
            <w:shd w:val="clear" w:color="auto" w:fill="auto"/>
            <w:vAlign w:val="center"/>
          </w:tcPr>
          <w:p w14:paraId="30AA5598">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w:t>
            </w:r>
          </w:p>
        </w:tc>
        <w:tc>
          <w:tcPr>
            <w:tcW w:w="695" w:type="pct"/>
            <w:tcBorders>
              <w:top w:val="nil"/>
              <w:left w:val="nil"/>
              <w:bottom w:val="single" w:color="auto" w:sz="4" w:space="0"/>
              <w:right w:val="single" w:color="auto" w:sz="4" w:space="0"/>
            </w:tcBorders>
            <w:shd w:val="clear" w:color="auto" w:fill="auto"/>
            <w:noWrap/>
            <w:vAlign w:val="center"/>
          </w:tcPr>
          <w:p w14:paraId="561542CA">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实训</w:t>
            </w:r>
          </w:p>
        </w:tc>
      </w:tr>
      <w:tr w14:paraId="2674F182">
        <w:tblPrEx>
          <w:tblCellMar>
            <w:top w:w="0" w:type="dxa"/>
            <w:left w:w="108" w:type="dxa"/>
            <w:bottom w:w="0" w:type="dxa"/>
            <w:right w:w="108" w:type="dxa"/>
          </w:tblCellMar>
        </w:tblPrEx>
        <w:trPr>
          <w:trHeight w:val="510" w:hRule="atLeast"/>
        </w:trPr>
        <w:tc>
          <w:tcPr>
            <w:tcW w:w="844" w:type="pct"/>
            <w:tcBorders>
              <w:top w:val="nil"/>
              <w:left w:val="single" w:color="auto" w:sz="4" w:space="0"/>
              <w:bottom w:val="single" w:color="auto" w:sz="4" w:space="0"/>
              <w:right w:val="single" w:color="auto" w:sz="4" w:space="0"/>
            </w:tcBorders>
            <w:shd w:val="clear" w:color="auto" w:fill="auto"/>
            <w:vAlign w:val="center"/>
          </w:tcPr>
          <w:p w14:paraId="7A00611F">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20</w:t>
            </w:r>
          </w:p>
        </w:tc>
        <w:tc>
          <w:tcPr>
            <w:tcW w:w="4156" w:type="pct"/>
            <w:gridSpan w:val="3"/>
            <w:tcBorders>
              <w:top w:val="single" w:color="auto" w:sz="4" w:space="0"/>
              <w:left w:val="nil"/>
              <w:bottom w:val="single" w:color="auto" w:sz="4" w:space="0"/>
              <w:right w:val="single" w:color="000000" w:sz="4" w:space="0"/>
            </w:tcBorders>
            <w:shd w:val="clear" w:color="auto" w:fill="auto"/>
            <w:vAlign w:val="center"/>
          </w:tcPr>
          <w:p w14:paraId="59DF3C2E">
            <w:pPr>
              <w:widowControl/>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期末考试</w:t>
            </w:r>
          </w:p>
        </w:tc>
      </w:tr>
    </w:tbl>
    <w:p w14:paraId="77300C39"/>
    <w:p w14:paraId="0B9513C1">
      <w:pPr>
        <w:pStyle w:val="2"/>
      </w:pPr>
    </w:p>
    <w:p w14:paraId="1FA67D81">
      <w:pPr>
        <w:rPr>
          <w:rFonts w:hint="eastAsia" w:ascii="黑体" w:hAnsi="黑体" w:eastAsia="黑体" w:cs="黑体"/>
          <w:sz w:val="30"/>
          <w:szCs w:val="30"/>
        </w:rPr>
      </w:pPr>
      <w:bookmarkStart w:id="159" w:name="_Toc4798"/>
      <w:bookmarkStart w:id="160" w:name="_Toc25564"/>
      <w:bookmarkStart w:id="161" w:name="_Toc14446"/>
      <w:r>
        <w:rPr>
          <w:rFonts w:hint="eastAsia" w:ascii="黑体" w:hAnsi="黑体" w:eastAsia="黑体" w:cs="黑体"/>
          <w:sz w:val="30"/>
          <w:szCs w:val="30"/>
        </w:rPr>
        <w:br w:type="page"/>
      </w:r>
    </w:p>
    <w:p w14:paraId="3CEBF00A">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财经法规与会计职业道德课程标准</w:t>
      </w:r>
      <w:bookmarkEnd w:id="159"/>
      <w:bookmarkEnd w:id="160"/>
      <w:bookmarkEnd w:id="161"/>
    </w:p>
    <w:p w14:paraId="70AADDB9">
      <w:pPr>
        <w:pStyle w:val="17"/>
        <w:spacing w:after="0" w:line="400" w:lineRule="exact"/>
        <w:ind w:firstLine="560" w:firstLineChars="200"/>
        <w:rPr>
          <w:rFonts w:ascii="楷体_GB2312" w:eastAsia="楷体_GB2312"/>
          <w:sz w:val="28"/>
          <w:szCs w:val="28"/>
        </w:rPr>
      </w:pPr>
    </w:p>
    <w:p w14:paraId="181A4382">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（一）课程性质与任务</w:t>
      </w:r>
    </w:p>
    <w:p w14:paraId="162A868E">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仿宋_GB2312" w:cs="仿宋_GB2312" w:hAnsiTheme="minorHAnsi"/>
          <w:sz w:val="24"/>
          <w:szCs w:val="24"/>
        </w:rPr>
      </w:pPr>
      <w:r>
        <w:rPr>
          <w:rFonts w:hint="eastAsia" w:ascii="仿宋_GB2312" w:cs="仿宋_GB2312" w:hAnsiTheme="minorHAnsi"/>
          <w:sz w:val="24"/>
          <w:szCs w:val="24"/>
        </w:rPr>
        <w:t>《财经法规与会计职业道德》为会计专业的拓展课，是会计专业的主干课程，是从事会计工作的必修拓展课程，也是会计从业资格证考试的必考课程。本课程的主要任务是培养会计人员和潜在会计人员的会计职业素养和从事财务会计工作的专业实践能力。财经法规与会计职业道德是会计工作者从事会计工作必须 掌握的法律知识和道德知识。学好这门课，对于促进会计事业的发展，提高会计 人员队伍综合素质和会计基础工作水平，全面提升会计信息质量，将起到积极的 推动作用。</w:t>
      </w:r>
    </w:p>
    <w:p w14:paraId="006DFD44">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ascii="楷体_GB2312" w:eastAsia="楷体_GB2312"/>
          <w:sz w:val="24"/>
          <w:szCs w:val="24"/>
        </w:rPr>
        <w:t>（二）课程教学目标</w:t>
      </w:r>
    </w:p>
    <w:p w14:paraId="58EAC172">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sz w:val="24"/>
          <w:szCs w:val="24"/>
        </w:rPr>
      </w:pPr>
      <w:r>
        <w:rPr>
          <w:rFonts w:hint="eastAsia"/>
          <w:sz w:val="24"/>
          <w:szCs w:val="24"/>
        </w:rPr>
        <w:t>1</w:t>
      </w:r>
      <w:r>
        <w:rPr>
          <w:sz w:val="24"/>
          <w:szCs w:val="24"/>
        </w:rPr>
        <w:t>.素质目标</w:t>
      </w:r>
    </w:p>
    <w:p w14:paraId="1010703A">
      <w:pPr>
        <w:pStyle w:val="17"/>
        <w:keepNext w:val="0"/>
        <w:keepLines w:val="0"/>
        <w:pageBreakBefore w:val="0"/>
        <w:widowControl w:val="0"/>
        <w:kinsoku/>
        <w:wordWrap/>
        <w:overflowPunct/>
        <w:topLinePunct w:val="0"/>
        <w:bidi w:val="0"/>
        <w:snapToGrid/>
        <w:spacing w:after="0" w:line="400" w:lineRule="exact"/>
        <w:ind w:firstLine="420"/>
        <w:textAlignment w:val="auto"/>
        <w:rPr>
          <w:sz w:val="24"/>
          <w:szCs w:val="24"/>
        </w:rPr>
      </w:pPr>
      <w:r>
        <w:rPr>
          <w:rFonts w:hint="eastAsia"/>
          <w:sz w:val="24"/>
          <w:szCs w:val="24"/>
        </w:rPr>
        <w:t>（1）严守秘密，明辨是非；</w:t>
      </w:r>
    </w:p>
    <w:p w14:paraId="51B56731">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sz w:val="24"/>
          <w:szCs w:val="24"/>
        </w:rPr>
        <w:t>（2）</w:t>
      </w:r>
      <w:bookmarkStart w:id="162" w:name="_Hlk167719243"/>
      <w:r>
        <w:rPr>
          <w:rFonts w:hint="eastAsia" w:ascii="仿宋_GB2312" w:hAnsi="仿宋_GB2312" w:cs="仿宋_GB2312"/>
          <w:sz w:val="24"/>
          <w:szCs w:val="24"/>
        </w:rPr>
        <w:t>能严格公正地执行纪律</w:t>
      </w:r>
      <w:bookmarkEnd w:id="162"/>
      <w:r>
        <w:rPr>
          <w:rFonts w:hint="eastAsia" w:ascii="仿宋_GB2312" w:hAnsi="仿宋_GB2312" w:cs="仿宋_GB2312"/>
          <w:sz w:val="24"/>
          <w:szCs w:val="24"/>
        </w:rPr>
        <w:t>；</w:t>
      </w:r>
    </w:p>
    <w:p w14:paraId="2902CD79">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（3）具有良好的心理素质、诚信品质和社会责任感；</w:t>
      </w:r>
    </w:p>
    <w:p w14:paraId="45EF7597">
      <w:pPr>
        <w:pStyle w:val="17"/>
        <w:keepNext w:val="0"/>
        <w:keepLines w:val="0"/>
        <w:pageBreakBefore w:val="0"/>
        <w:widowControl w:val="0"/>
        <w:kinsoku/>
        <w:wordWrap/>
        <w:overflowPunct/>
        <w:topLinePunct w:val="0"/>
        <w:bidi w:val="0"/>
        <w:snapToGrid/>
        <w:spacing w:after="0" w:line="400" w:lineRule="exact"/>
        <w:ind w:firstLine="420"/>
        <w:textAlignment w:val="auto"/>
        <w:rPr>
          <w:sz w:val="24"/>
          <w:szCs w:val="24"/>
        </w:rPr>
      </w:pPr>
      <w:r>
        <w:rPr>
          <w:rFonts w:hint="eastAsia" w:ascii="仿宋_GB2312" w:hAnsi="仿宋_GB2312" w:cs="仿宋_GB2312"/>
          <w:sz w:val="24"/>
          <w:szCs w:val="24"/>
        </w:rPr>
        <w:t>（4）养成凭事实说话，小心谨慎的工作作风。</w:t>
      </w:r>
    </w:p>
    <w:p w14:paraId="324866E4">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2.知识目标</w:t>
      </w:r>
    </w:p>
    <w:p w14:paraId="6A6D6C20">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（1）掌握会计法律制度、国家统一的会计制度；</w:t>
      </w:r>
    </w:p>
    <w:p w14:paraId="365D1A82">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（2）熟悉单位和个人银行结算账户的开立、变更和撤销；</w:t>
      </w:r>
    </w:p>
    <w:p w14:paraId="3414906B">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（3）熟悉我国税收法律制度；</w:t>
      </w:r>
    </w:p>
    <w:p w14:paraId="1F0E0DC7">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（4）掌握我国预算法律制度等；</w:t>
      </w:r>
    </w:p>
    <w:p w14:paraId="3F1C334F">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（5）掌握会计职业道德的主要内容。</w:t>
      </w:r>
    </w:p>
    <w:p w14:paraId="442554F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hint="eastAsia" w:ascii="仿宋_GB2312" w:eastAsia="仿宋_GB2312" w:cs="仿宋_GB2312"/>
          <w:sz w:val="24"/>
          <w:szCs w:val="24"/>
        </w:rPr>
        <w:t>3.能力目标</w:t>
      </w:r>
    </w:p>
    <w:p w14:paraId="371C81DD">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（1）能够签发和使用各种票据，开立和使用单位银行结算账户；</w:t>
      </w:r>
    </w:p>
    <w:p w14:paraId="3544DA65">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（2）能够熟练进行各税种应纳税额的计算；</w:t>
      </w:r>
    </w:p>
    <w:p w14:paraId="2412295B">
      <w:pPr>
        <w:pStyle w:val="17"/>
        <w:keepNext w:val="0"/>
        <w:keepLines w:val="0"/>
        <w:pageBreakBefore w:val="0"/>
        <w:widowControl w:val="0"/>
        <w:kinsoku/>
        <w:wordWrap/>
        <w:overflowPunct/>
        <w:topLinePunct w:val="0"/>
        <w:bidi w:val="0"/>
        <w:snapToGrid/>
        <w:spacing w:after="0" w:line="400" w:lineRule="exact"/>
        <w:ind w:firstLine="420"/>
        <w:textAlignment w:val="auto"/>
        <w:rPr>
          <w:rFonts w:ascii="仿宋_GB2312" w:hAnsi="仿宋_GB2312" w:cs="仿宋_GB2312"/>
          <w:sz w:val="24"/>
          <w:szCs w:val="24"/>
        </w:rPr>
      </w:pPr>
      <w:r>
        <w:rPr>
          <w:rFonts w:hint="eastAsia" w:ascii="仿宋_GB2312" w:hAnsi="仿宋_GB2312" w:cs="仿宋_GB2312"/>
          <w:sz w:val="24"/>
          <w:szCs w:val="24"/>
        </w:rPr>
        <w:t>（3）增强法律意识，提升会计道德素养。</w:t>
      </w:r>
    </w:p>
    <w:p w14:paraId="0E762190">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（三）参考学时</w:t>
      </w:r>
    </w:p>
    <w:p w14:paraId="598CE637">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ascii="仿宋_GB2312" w:eastAsia="仿宋_GB2312" w:cs="仿宋_GB2312"/>
          <w:sz w:val="24"/>
          <w:szCs w:val="24"/>
        </w:rPr>
        <w:t>36</w:t>
      </w:r>
      <w:r>
        <w:rPr>
          <w:rFonts w:hint="eastAsia" w:ascii="仿宋_GB2312" w:eastAsia="仿宋_GB2312" w:cs="仿宋_GB2312"/>
          <w:sz w:val="24"/>
          <w:szCs w:val="24"/>
        </w:rPr>
        <w:t>学时。</w:t>
      </w:r>
    </w:p>
    <w:p w14:paraId="25A4ED42">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ascii="楷体_GB2312" w:eastAsia="楷体_GB2312"/>
          <w:sz w:val="24"/>
          <w:szCs w:val="24"/>
        </w:rPr>
      </w:pPr>
      <w:r>
        <w:rPr>
          <w:rFonts w:hint="eastAsia" w:ascii="楷体_GB2312" w:eastAsia="楷体_GB2312"/>
          <w:sz w:val="24"/>
          <w:szCs w:val="24"/>
        </w:rPr>
        <w:t>（四）课程学分</w:t>
      </w:r>
    </w:p>
    <w:p w14:paraId="2BBBE21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_GB2312" w:eastAsia="仿宋_GB2312" w:cs="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学分。</w:t>
      </w:r>
    </w:p>
    <w:p w14:paraId="7BF8BB55">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p>
    <w:p w14:paraId="52D27DBA">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p>
    <w:p w14:paraId="3DF34D69">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p>
    <w:p w14:paraId="4B40F6DF">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015FA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3C45D70A">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43DFD260">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15AC7D4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7CDAF0D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47A0591C">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75B4CCB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1E840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4082FD5">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0FEABD12">
            <w:pPr>
              <w:adjustRightInd w:val="0"/>
              <w:spacing w:line="360" w:lineRule="exact"/>
              <w:rPr>
                <w:rFonts w:asciiTheme="minorEastAsia" w:hAnsiTheme="minorEastAsia" w:cstheme="minorEastAsia"/>
              </w:rPr>
            </w:pPr>
            <w:r>
              <w:rPr>
                <w:rFonts w:hint="eastAsia" w:cstheme="minorEastAsia"/>
              </w:rPr>
              <w:t>会计规定</w:t>
            </w:r>
          </w:p>
        </w:tc>
        <w:tc>
          <w:tcPr>
            <w:tcW w:w="2880" w:type="dxa"/>
            <w:vAlign w:val="center"/>
          </w:tcPr>
          <w:p w14:paraId="434B4B03">
            <w:pPr>
              <w:adjustRightInd w:val="0"/>
              <w:spacing w:line="360" w:lineRule="exact"/>
              <w:rPr>
                <w:rFonts w:asciiTheme="minorEastAsia" w:hAnsiTheme="minorEastAsia" w:cstheme="minorEastAsia"/>
              </w:rPr>
            </w:pPr>
            <w:r>
              <w:rPr>
                <w:rFonts w:hint="eastAsia" w:asciiTheme="minorEastAsia" w:hAnsiTheme="minorEastAsia" w:cstheme="minorEastAsia"/>
              </w:rPr>
              <w:t>1.了解会计法律制度的概念和构成；</w:t>
            </w:r>
          </w:p>
          <w:p w14:paraId="1C85D213">
            <w:pPr>
              <w:adjustRightInd w:val="0"/>
              <w:spacing w:line="360" w:lineRule="exact"/>
              <w:rPr>
                <w:rFonts w:asciiTheme="minorEastAsia" w:hAnsiTheme="minorEastAsia" w:cstheme="minorEastAsia"/>
              </w:rPr>
            </w:pPr>
            <w:r>
              <w:rPr>
                <w:rFonts w:hint="eastAsia" w:asciiTheme="minorEastAsia" w:hAnsiTheme="minorEastAsia" w:cstheme="minorEastAsia"/>
              </w:rPr>
              <w:t>2.明确会计的行政、自律等管理体制；</w:t>
            </w:r>
          </w:p>
          <w:p w14:paraId="293209B3">
            <w:pPr>
              <w:adjustRightInd w:val="0"/>
              <w:spacing w:line="360" w:lineRule="exact"/>
              <w:rPr>
                <w:rFonts w:asciiTheme="minorEastAsia" w:hAnsiTheme="minorEastAsia" w:cstheme="minorEastAsia"/>
              </w:rPr>
            </w:pPr>
            <w:r>
              <w:rPr>
                <w:rFonts w:hint="eastAsia" w:asciiTheme="minorEastAsia" w:hAnsiTheme="minorEastAsia" w:cstheme="minorEastAsia"/>
              </w:rPr>
              <w:t>3.掌握设置会计机构、配备会计人员的要求；</w:t>
            </w:r>
          </w:p>
          <w:p w14:paraId="07CB59B0">
            <w:pPr>
              <w:adjustRightInd w:val="0"/>
              <w:spacing w:line="360" w:lineRule="exact"/>
              <w:rPr>
                <w:rFonts w:asciiTheme="minorEastAsia" w:hAnsiTheme="minorEastAsia" w:cstheme="minorEastAsia"/>
              </w:rPr>
            </w:pPr>
            <w:r>
              <w:rPr>
                <w:rFonts w:hint="eastAsia" w:asciiTheme="minorEastAsia" w:hAnsiTheme="minorEastAsia" w:cstheme="minorEastAsia"/>
              </w:rPr>
              <w:t>4.掌握会计核算的内容、会计监督的对象和方式；</w:t>
            </w:r>
          </w:p>
          <w:p w14:paraId="686DB14D">
            <w:pPr>
              <w:adjustRightInd w:val="0"/>
              <w:spacing w:line="360" w:lineRule="exact"/>
              <w:rPr>
                <w:rFonts w:asciiTheme="minorEastAsia" w:hAnsiTheme="minorEastAsia" w:cstheme="minorEastAsia"/>
              </w:rPr>
            </w:pPr>
            <w:r>
              <w:rPr>
                <w:rFonts w:hint="eastAsia" w:asciiTheme="minorEastAsia" w:hAnsiTheme="minorEastAsia" w:cstheme="minorEastAsia"/>
              </w:rPr>
              <w:t>5.掌握有关会计机构和会计人员的法律规定。</w:t>
            </w:r>
          </w:p>
        </w:tc>
        <w:tc>
          <w:tcPr>
            <w:tcW w:w="2682" w:type="dxa"/>
            <w:vAlign w:val="center"/>
          </w:tcPr>
          <w:p w14:paraId="0D68C47C">
            <w:pPr>
              <w:spacing w:line="360" w:lineRule="exact"/>
              <w:rPr>
                <w:rFonts w:cstheme="minorEastAsia"/>
              </w:rPr>
            </w:pPr>
            <w:r>
              <w:rPr>
                <w:rFonts w:hint="eastAsia" w:cstheme="minorEastAsia"/>
              </w:rPr>
              <w:t>1.多媒体演示，了解会计日常的事务；</w:t>
            </w:r>
          </w:p>
          <w:p w14:paraId="05F9E41E">
            <w:pPr>
              <w:adjustRightInd w:val="0"/>
              <w:spacing w:line="360" w:lineRule="exact"/>
              <w:rPr>
                <w:rFonts w:cstheme="minorEastAsia"/>
              </w:rPr>
            </w:pPr>
            <w:r>
              <w:rPr>
                <w:rFonts w:hint="eastAsia" w:cstheme="minorEastAsia"/>
              </w:rPr>
              <w:t>2.通过实物或图片展示《中华人民共和国会计法》《会计基础工作规范》等资料，通过典型案例感受会计法律法规的重要性；</w:t>
            </w:r>
          </w:p>
          <w:p w14:paraId="2D7341D8">
            <w:pPr>
              <w:spacing w:line="360" w:lineRule="exact"/>
              <w:rPr>
                <w:rFonts w:asciiTheme="minorEastAsia" w:hAnsiTheme="minorEastAsia" w:cstheme="minorEastAsia"/>
              </w:rPr>
            </w:pPr>
            <w:r>
              <w:rPr>
                <w:rFonts w:hint="eastAsia" w:cstheme="minorEastAsia"/>
              </w:rPr>
              <w:t>3.解析会计规定的具体内容，维护法律法规和国家统一会计制度的尊严。</w:t>
            </w:r>
          </w:p>
        </w:tc>
        <w:tc>
          <w:tcPr>
            <w:tcW w:w="724" w:type="dxa"/>
            <w:vAlign w:val="center"/>
          </w:tcPr>
          <w:p w14:paraId="66ECEF6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r>
      <w:tr w14:paraId="1325B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A43BCBD">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0AEABF4A">
            <w:pPr>
              <w:adjustRightInd w:val="0"/>
              <w:spacing w:line="360" w:lineRule="exact"/>
              <w:rPr>
                <w:rFonts w:asciiTheme="minorEastAsia" w:hAnsiTheme="minorEastAsia" w:cstheme="minorEastAsia"/>
              </w:rPr>
            </w:pPr>
            <w:r>
              <w:rPr>
                <w:rFonts w:hint="eastAsia" w:asciiTheme="minorEastAsia" w:hAnsiTheme="minorEastAsia" w:cstheme="minorEastAsia"/>
              </w:rPr>
              <w:t>支付结算</w:t>
            </w:r>
          </w:p>
        </w:tc>
        <w:tc>
          <w:tcPr>
            <w:tcW w:w="2880" w:type="dxa"/>
            <w:vAlign w:val="center"/>
          </w:tcPr>
          <w:p w14:paraId="250586FA">
            <w:pPr>
              <w:adjustRightInd w:val="0"/>
              <w:spacing w:line="360" w:lineRule="exact"/>
              <w:rPr>
                <w:rFonts w:asciiTheme="minorEastAsia" w:hAnsiTheme="minorEastAsia" w:cstheme="minorEastAsia"/>
              </w:rPr>
            </w:pPr>
            <w:r>
              <w:rPr>
                <w:rFonts w:hint="eastAsia" w:asciiTheme="minorEastAsia" w:hAnsiTheme="minorEastAsia" w:cstheme="minorEastAsia"/>
              </w:rPr>
              <w:t>1.理解支付结算的含义；</w:t>
            </w:r>
          </w:p>
          <w:p w14:paraId="78881C00">
            <w:pPr>
              <w:adjustRightInd w:val="0"/>
              <w:spacing w:line="360" w:lineRule="exact"/>
              <w:rPr>
                <w:rFonts w:asciiTheme="minorEastAsia" w:hAnsiTheme="minorEastAsia" w:cstheme="minorEastAsia"/>
              </w:rPr>
            </w:pPr>
            <w:r>
              <w:rPr>
                <w:rFonts w:hint="eastAsia" w:asciiTheme="minorEastAsia" w:hAnsiTheme="minorEastAsia" w:cstheme="minorEastAsia"/>
              </w:rPr>
              <w:t>2.掌握现金结算账户的含义，使用范围以及基本要求；</w:t>
            </w:r>
          </w:p>
          <w:p w14:paraId="1FEA228A">
            <w:pPr>
              <w:adjustRightInd w:val="0"/>
              <w:spacing w:line="360" w:lineRule="exact"/>
              <w:rPr>
                <w:rFonts w:asciiTheme="minorEastAsia" w:hAnsiTheme="minorEastAsia" w:cstheme="minorEastAsia"/>
              </w:rPr>
            </w:pPr>
            <w:r>
              <w:rPr>
                <w:rFonts w:hint="eastAsia" w:asciiTheme="minorEastAsia" w:hAnsiTheme="minorEastAsia" w:cstheme="minorEastAsia"/>
              </w:rPr>
              <w:t>3.掌握银行账户结算中的单位银行结算；</w:t>
            </w:r>
          </w:p>
          <w:p w14:paraId="60D5E35F">
            <w:pPr>
              <w:adjustRightInd w:val="0"/>
              <w:spacing w:line="360" w:lineRule="exact"/>
              <w:rPr>
                <w:rFonts w:asciiTheme="minorEastAsia" w:hAnsiTheme="minorEastAsia" w:cstheme="minorEastAsia"/>
              </w:rPr>
            </w:pPr>
            <w:r>
              <w:rPr>
                <w:rFonts w:hint="eastAsia" w:asciiTheme="minorEastAsia" w:hAnsiTheme="minorEastAsia" w:cstheme="minorEastAsia"/>
              </w:rPr>
              <w:t>4.掌握票据的计算方式。</w:t>
            </w:r>
          </w:p>
        </w:tc>
        <w:tc>
          <w:tcPr>
            <w:tcW w:w="2682" w:type="dxa"/>
            <w:vAlign w:val="center"/>
          </w:tcPr>
          <w:p w14:paraId="62F476AB">
            <w:pPr>
              <w:spacing w:line="360" w:lineRule="exact"/>
              <w:rPr>
                <w:rFonts w:asciiTheme="minorEastAsia" w:hAnsiTheme="minorEastAsia" w:cstheme="minorEastAsia"/>
              </w:rPr>
            </w:pPr>
            <w:r>
              <w:rPr>
                <w:rFonts w:hint="eastAsia" w:asciiTheme="minorEastAsia" w:hAnsiTheme="minorEastAsia" w:cstheme="minorEastAsia"/>
              </w:rPr>
              <w:t>1.提供部分案例，正确填写各种票据和完成结算凭证；</w:t>
            </w:r>
          </w:p>
          <w:p w14:paraId="0CF192FA">
            <w:pPr>
              <w:spacing w:line="360" w:lineRule="exact"/>
              <w:rPr>
                <w:rFonts w:asciiTheme="minorEastAsia" w:hAnsiTheme="minorEastAsia" w:cstheme="minorEastAsia"/>
              </w:rPr>
            </w:pPr>
            <w:r>
              <w:rPr>
                <w:rFonts w:hint="eastAsia" w:asciiTheme="minorEastAsia" w:hAnsiTheme="minorEastAsia" w:cstheme="minorEastAsia"/>
              </w:rPr>
              <w:t>2.提升学生辨别信息的能力，进而培养学生的批判性思维。</w:t>
            </w:r>
          </w:p>
        </w:tc>
        <w:tc>
          <w:tcPr>
            <w:tcW w:w="724" w:type="dxa"/>
            <w:vAlign w:val="center"/>
          </w:tcPr>
          <w:p w14:paraId="0E1FF81E">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6</w:t>
            </w:r>
          </w:p>
        </w:tc>
      </w:tr>
      <w:tr w14:paraId="78AFE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4D08E7A">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1941403A">
            <w:pPr>
              <w:adjustRightInd w:val="0"/>
              <w:spacing w:line="360" w:lineRule="exact"/>
              <w:rPr>
                <w:rFonts w:asciiTheme="minorEastAsia" w:hAnsiTheme="minorEastAsia" w:cstheme="minorEastAsia"/>
              </w:rPr>
            </w:pPr>
            <w:r>
              <w:rPr>
                <w:rFonts w:hint="eastAsia" w:asciiTheme="minorEastAsia" w:hAnsiTheme="minorEastAsia" w:cstheme="minorEastAsia"/>
              </w:rPr>
              <w:t>依法纳税</w:t>
            </w:r>
          </w:p>
        </w:tc>
        <w:tc>
          <w:tcPr>
            <w:tcW w:w="2880" w:type="dxa"/>
            <w:vAlign w:val="center"/>
          </w:tcPr>
          <w:p w14:paraId="2F3C2CD2">
            <w:pPr>
              <w:adjustRightInd w:val="0"/>
              <w:spacing w:line="360" w:lineRule="exact"/>
              <w:rPr>
                <w:rFonts w:asciiTheme="minorEastAsia" w:hAnsiTheme="minorEastAsia" w:cstheme="minorEastAsia"/>
              </w:rPr>
            </w:pPr>
            <w:r>
              <w:rPr>
                <w:rFonts w:hint="eastAsia" w:asciiTheme="minorEastAsia" w:hAnsiTheme="minorEastAsia" w:cstheme="minorEastAsia"/>
              </w:rPr>
              <w:t>1.了解税收概念，掌握税法的构成要素；</w:t>
            </w:r>
          </w:p>
          <w:p w14:paraId="720B8F73">
            <w:pPr>
              <w:adjustRightInd w:val="0"/>
              <w:spacing w:line="360" w:lineRule="exact"/>
              <w:rPr>
                <w:rFonts w:asciiTheme="minorEastAsia" w:hAnsiTheme="minorEastAsia" w:cstheme="minorEastAsia"/>
              </w:rPr>
            </w:pPr>
            <w:r>
              <w:rPr>
                <w:rFonts w:hint="eastAsia" w:asciiTheme="minorEastAsia" w:hAnsiTheme="minorEastAsia" w:cstheme="minorEastAsia"/>
              </w:rPr>
              <w:t>2.掌握现有主要税种，计算应交税额；</w:t>
            </w:r>
          </w:p>
          <w:p w14:paraId="47A8560A">
            <w:pPr>
              <w:adjustRightInd w:val="0"/>
              <w:spacing w:line="360" w:lineRule="exact"/>
              <w:rPr>
                <w:rFonts w:asciiTheme="minorEastAsia" w:hAnsiTheme="minorEastAsia" w:cstheme="minorEastAsia"/>
              </w:rPr>
            </w:pPr>
            <w:r>
              <w:rPr>
                <w:rFonts w:hint="eastAsia" w:asciiTheme="minorEastAsia" w:hAnsiTheme="minorEastAsia" w:cstheme="minorEastAsia"/>
              </w:rPr>
              <w:t>3.掌握税收征管环节，规范税收行为。</w:t>
            </w:r>
          </w:p>
        </w:tc>
        <w:tc>
          <w:tcPr>
            <w:tcW w:w="2682" w:type="dxa"/>
            <w:vAlign w:val="center"/>
          </w:tcPr>
          <w:p w14:paraId="6F825BBD">
            <w:pPr>
              <w:spacing w:line="360" w:lineRule="exact"/>
              <w:rPr>
                <w:rFonts w:asciiTheme="minorEastAsia" w:hAnsiTheme="minorEastAsia" w:cstheme="minorEastAsia"/>
              </w:rPr>
            </w:pPr>
            <w:r>
              <w:rPr>
                <w:rFonts w:hint="eastAsia" w:asciiTheme="minorEastAsia" w:hAnsiTheme="minorEastAsia" w:cstheme="minorEastAsia"/>
              </w:rPr>
              <w:t>1.通过多媒体课件，指导学生识别企业主要税种；</w:t>
            </w:r>
          </w:p>
          <w:p w14:paraId="0FA514B4">
            <w:pPr>
              <w:spacing w:line="360" w:lineRule="exact"/>
              <w:rPr>
                <w:rFonts w:asciiTheme="minorEastAsia" w:hAnsiTheme="minorEastAsia" w:cstheme="minorEastAsia"/>
              </w:rPr>
            </w:pPr>
            <w:r>
              <w:rPr>
                <w:rFonts w:hint="eastAsia" w:asciiTheme="minorEastAsia" w:hAnsiTheme="minorEastAsia" w:cstheme="minorEastAsia"/>
              </w:rPr>
              <w:t>2.引导学生使用口诀熟记税收管理制度；</w:t>
            </w:r>
          </w:p>
          <w:p w14:paraId="3AB9A22B">
            <w:pPr>
              <w:spacing w:line="360" w:lineRule="exact"/>
              <w:rPr>
                <w:rFonts w:asciiTheme="minorEastAsia" w:hAnsiTheme="minorEastAsia" w:cstheme="minorEastAsia"/>
              </w:rPr>
            </w:pPr>
            <w:r>
              <w:rPr>
                <w:rFonts w:hint="eastAsia" w:asciiTheme="minorEastAsia" w:hAnsiTheme="minorEastAsia" w:cstheme="minorEastAsia"/>
              </w:rPr>
              <w:t>3.坚守按规律办事、按规律做事的原则。</w:t>
            </w:r>
          </w:p>
        </w:tc>
        <w:tc>
          <w:tcPr>
            <w:tcW w:w="724" w:type="dxa"/>
            <w:vAlign w:val="center"/>
          </w:tcPr>
          <w:p w14:paraId="102A36A3">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0</w:t>
            </w:r>
          </w:p>
        </w:tc>
      </w:tr>
      <w:tr w14:paraId="4176A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9C910A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462150D7">
            <w:pPr>
              <w:adjustRightInd w:val="0"/>
              <w:spacing w:line="360" w:lineRule="exact"/>
              <w:rPr>
                <w:rFonts w:asciiTheme="minorEastAsia" w:hAnsiTheme="minorEastAsia" w:cstheme="minorEastAsia"/>
              </w:rPr>
            </w:pPr>
            <w:r>
              <w:rPr>
                <w:rFonts w:hint="eastAsia" w:cstheme="minorEastAsia"/>
              </w:rPr>
              <w:t>财经法规</w:t>
            </w:r>
          </w:p>
        </w:tc>
        <w:tc>
          <w:tcPr>
            <w:tcW w:w="2880" w:type="dxa"/>
            <w:vAlign w:val="center"/>
          </w:tcPr>
          <w:p w14:paraId="494AD349">
            <w:pPr>
              <w:adjustRightInd w:val="0"/>
              <w:spacing w:line="360" w:lineRule="exact"/>
              <w:rPr>
                <w:rFonts w:asciiTheme="minorEastAsia" w:hAnsiTheme="minorEastAsia" w:cstheme="minorEastAsia"/>
              </w:rPr>
            </w:pPr>
            <w:r>
              <w:rPr>
                <w:rFonts w:hint="eastAsia" w:asciiTheme="minorEastAsia" w:hAnsiTheme="minorEastAsia" w:cstheme="minorEastAsia"/>
              </w:rPr>
              <w:t>1.了解预算法律制度的构成，理解国家预算；</w:t>
            </w:r>
          </w:p>
          <w:p w14:paraId="093F67FD">
            <w:pPr>
              <w:adjustRightInd w:val="0"/>
              <w:spacing w:line="360" w:lineRule="exact"/>
              <w:rPr>
                <w:rFonts w:asciiTheme="minorEastAsia" w:hAnsiTheme="minorEastAsia" w:cstheme="minorEastAsia"/>
              </w:rPr>
            </w:pPr>
            <w:r>
              <w:rPr>
                <w:rFonts w:hint="eastAsia" w:asciiTheme="minorEastAsia" w:hAnsiTheme="minorEastAsia" w:cstheme="minorEastAsia"/>
              </w:rPr>
              <w:t>2.掌握政府采购原则与模式；</w:t>
            </w:r>
          </w:p>
          <w:p w14:paraId="0BB826EB">
            <w:pPr>
              <w:adjustRightInd w:val="0"/>
              <w:spacing w:line="360" w:lineRule="exact"/>
              <w:rPr>
                <w:rFonts w:asciiTheme="minorEastAsia" w:hAnsiTheme="minorEastAsia" w:cstheme="minorEastAsia"/>
              </w:rPr>
            </w:pPr>
            <w:r>
              <w:rPr>
                <w:rFonts w:hint="eastAsia" w:asciiTheme="minorEastAsia" w:hAnsiTheme="minorEastAsia" w:cstheme="minorEastAsia"/>
              </w:rPr>
              <w:t>3.掌握国库集中收付支付。</w:t>
            </w:r>
          </w:p>
        </w:tc>
        <w:tc>
          <w:tcPr>
            <w:tcW w:w="2682" w:type="dxa"/>
            <w:vAlign w:val="center"/>
          </w:tcPr>
          <w:p w14:paraId="43775583">
            <w:pPr>
              <w:adjustRightInd w:val="0"/>
              <w:spacing w:line="360" w:lineRule="exact"/>
              <w:rPr>
                <w:rFonts w:asciiTheme="minorEastAsia" w:hAnsiTheme="minorEastAsia" w:cstheme="minorEastAsia"/>
              </w:rPr>
            </w:pPr>
            <w:r>
              <w:rPr>
                <w:rFonts w:hint="eastAsia" w:asciiTheme="minorEastAsia" w:hAnsiTheme="minorEastAsia" w:cstheme="minorEastAsia"/>
              </w:rPr>
              <w:t>1.根据真实案例，正确理解有关内容；</w:t>
            </w:r>
          </w:p>
          <w:p w14:paraId="2C5BB524">
            <w:pPr>
              <w:adjustRightInd w:val="0"/>
              <w:spacing w:line="360" w:lineRule="exact"/>
              <w:rPr>
                <w:rFonts w:asciiTheme="minorEastAsia" w:hAnsiTheme="minorEastAsia" w:cstheme="minorEastAsia"/>
              </w:rPr>
            </w:pPr>
            <w:r>
              <w:rPr>
                <w:rFonts w:hint="eastAsia" w:asciiTheme="minorEastAsia" w:hAnsiTheme="minorEastAsia" w:cstheme="minorEastAsia"/>
              </w:rPr>
              <w:t>2.用日常生活中的例子规范自己日常生活；</w:t>
            </w:r>
          </w:p>
          <w:p w14:paraId="1E0E405A">
            <w:pPr>
              <w:adjustRightInd w:val="0"/>
              <w:spacing w:line="360" w:lineRule="exact"/>
              <w:rPr>
                <w:rFonts w:asciiTheme="minorEastAsia" w:hAnsiTheme="minorEastAsia" w:cstheme="minorEastAsia"/>
              </w:rPr>
            </w:pPr>
            <w:r>
              <w:rPr>
                <w:rFonts w:hint="eastAsia" w:asciiTheme="minorEastAsia" w:hAnsiTheme="minorEastAsia" w:cstheme="minorEastAsia"/>
              </w:rPr>
              <w:t>3.培养学生的合规意识，树牢底线意识。</w:t>
            </w:r>
          </w:p>
        </w:tc>
        <w:tc>
          <w:tcPr>
            <w:tcW w:w="724" w:type="dxa"/>
            <w:vAlign w:val="center"/>
          </w:tcPr>
          <w:p w14:paraId="59021AF6">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r>
      <w:tr w14:paraId="1C7A7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EB0009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59D20277">
            <w:pPr>
              <w:adjustRightInd w:val="0"/>
              <w:spacing w:line="360" w:lineRule="exact"/>
              <w:rPr>
                <w:rFonts w:cstheme="minorEastAsia"/>
              </w:rPr>
            </w:pPr>
            <w:r>
              <w:rPr>
                <w:rFonts w:hint="eastAsia" w:cstheme="minorEastAsia"/>
              </w:rPr>
              <w:t>职业道德</w:t>
            </w:r>
          </w:p>
        </w:tc>
        <w:tc>
          <w:tcPr>
            <w:tcW w:w="2880" w:type="dxa"/>
            <w:vAlign w:val="center"/>
          </w:tcPr>
          <w:p w14:paraId="1F31260C">
            <w:pPr>
              <w:adjustRightInd w:val="0"/>
              <w:spacing w:line="360" w:lineRule="exact"/>
              <w:rPr>
                <w:rFonts w:asciiTheme="minorEastAsia" w:hAnsiTheme="minorEastAsia" w:cstheme="minorEastAsia"/>
              </w:rPr>
            </w:pPr>
            <w:r>
              <w:rPr>
                <w:rFonts w:hint="eastAsia" w:asciiTheme="minorEastAsia" w:hAnsiTheme="minorEastAsia" w:cstheme="minorEastAsia"/>
              </w:rPr>
              <w:t>1.理解职业道德的含义、特征、作用以及内容；</w:t>
            </w:r>
          </w:p>
          <w:p w14:paraId="11068FE1">
            <w:pPr>
              <w:adjustRightInd w:val="0"/>
              <w:spacing w:line="360" w:lineRule="exact"/>
              <w:rPr>
                <w:rFonts w:asciiTheme="minorEastAsia" w:hAnsiTheme="minorEastAsia" w:cstheme="minorEastAsia"/>
              </w:rPr>
            </w:pPr>
            <w:r>
              <w:rPr>
                <w:rFonts w:hint="eastAsia" w:asciiTheme="minorEastAsia" w:hAnsiTheme="minorEastAsia" w:cstheme="minorEastAsia"/>
              </w:rPr>
              <w:t>2.掌握会计职业道德教育的概念与形式；</w:t>
            </w:r>
          </w:p>
          <w:p w14:paraId="7BC364F4">
            <w:pPr>
              <w:adjustRightInd w:val="0"/>
              <w:spacing w:line="360" w:lineRule="exact"/>
              <w:rPr>
                <w:rFonts w:asciiTheme="minorEastAsia" w:hAnsiTheme="minorEastAsia" w:cstheme="minorEastAsia"/>
              </w:rPr>
            </w:pPr>
            <w:r>
              <w:rPr>
                <w:rFonts w:hint="eastAsia" w:asciiTheme="minorEastAsia" w:hAnsiTheme="minorEastAsia" w:cstheme="minorEastAsia"/>
              </w:rPr>
              <w:t>3.掌握会计职业道德检查与奖惩的意义与方法。</w:t>
            </w:r>
          </w:p>
        </w:tc>
        <w:tc>
          <w:tcPr>
            <w:tcW w:w="2682" w:type="dxa"/>
            <w:vAlign w:val="center"/>
          </w:tcPr>
          <w:p w14:paraId="6DB5D255">
            <w:pPr>
              <w:spacing w:line="360" w:lineRule="exact"/>
              <w:rPr>
                <w:rFonts w:cstheme="minorEastAsia"/>
              </w:rPr>
            </w:pPr>
            <w:r>
              <w:rPr>
                <w:rFonts w:hint="eastAsia" w:cstheme="minorEastAsia"/>
              </w:rPr>
              <w:t>1.真实案例导入，警醒学生；</w:t>
            </w:r>
          </w:p>
          <w:p w14:paraId="7495C0E6">
            <w:pPr>
              <w:spacing w:line="360" w:lineRule="exact"/>
              <w:rPr>
                <w:rFonts w:cstheme="minorEastAsia"/>
              </w:rPr>
            </w:pPr>
            <w:r>
              <w:rPr>
                <w:rFonts w:hint="eastAsia" w:cstheme="minorEastAsia"/>
              </w:rPr>
              <w:t>2.通过小游戏，锻炼道德意识；</w:t>
            </w:r>
          </w:p>
          <w:p w14:paraId="02EEE4BA">
            <w:pPr>
              <w:adjustRightInd w:val="0"/>
              <w:spacing w:line="360" w:lineRule="exact"/>
              <w:rPr>
                <w:rFonts w:asciiTheme="minorEastAsia" w:hAnsiTheme="minorEastAsia" w:cstheme="minorEastAsia"/>
              </w:rPr>
            </w:pPr>
            <w:r>
              <w:rPr>
                <w:rFonts w:hint="eastAsia" w:cstheme="minorEastAsia"/>
              </w:rPr>
              <w:t>3.养成扎实严谨的工作作风和实事求是的工作态度。</w:t>
            </w:r>
          </w:p>
        </w:tc>
        <w:tc>
          <w:tcPr>
            <w:tcW w:w="724" w:type="dxa"/>
            <w:vAlign w:val="center"/>
          </w:tcPr>
          <w:p w14:paraId="2FCC5F0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2</w:t>
            </w:r>
          </w:p>
        </w:tc>
      </w:tr>
    </w:tbl>
    <w:p w14:paraId="393455FB">
      <w:pPr>
        <w:pStyle w:val="17"/>
        <w:keepNext w:val="0"/>
        <w:keepLines w:val="0"/>
        <w:pageBreakBefore w:val="0"/>
        <w:widowControl w:val="0"/>
        <w:kinsoku/>
        <w:wordWrap/>
        <w:overflowPunct/>
        <w:topLinePunct w:val="0"/>
        <w:bidi w:val="0"/>
        <w:snapToGrid/>
        <w:spacing w:after="0" w:line="400" w:lineRule="exact"/>
        <w:ind w:firstLine="480" w:firstLineChars="200"/>
        <w:textAlignment w:val="auto"/>
        <w:rPr>
          <w:rFonts w:hint="eastAsia" w:ascii="楷体_GB2312" w:eastAsia="楷体_GB2312"/>
          <w:sz w:val="24"/>
          <w:szCs w:val="24"/>
        </w:rPr>
      </w:pPr>
      <w:r>
        <w:rPr>
          <w:rFonts w:hint="eastAsia" w:ascii="楷体_GB2312" w:eastAsia="楷体_GB2312"/>
          <w:sz w:val="24"/>
          <w:szCs w:val="24"/>
        </w:rPr>
        <w:t>（六）实施建议</w:t>
      </w:r>
    </w:p>
    <w:p w14:paraId="4FEB0D07">
      <w:pPr>
        <w:pStyle w:val="17"/>
        <w:spacing w:after="0" w:line="400" w:lineRule="exact"/>
        <w:ind w:firstLine="480" w:firstLineChars="200"/>
        <w:rPr>
          <w:sz w:val="24"/>
          <w:szCs w:val="24"/>
        </w:rPr>
      </w:pPr>
      <w:r>
        <w:rPr>
          <w:rFonts w:hint="eastAsia"/>
          <w:sz w:val="24"/>
          <w:szCs w:val="24"/>
        </w:rPr>
        <w:t>1.教学方法</w:t>
      </w:r>
    </w:p>
    <w:p w14:paraId="2ED7CBD9">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02413046">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61700A0A">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422FED70">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18916708">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6CD44D6E">
      <w:pPr>
        <w:pStyle w:val="17"/>
        <w:spacing w:after="0" w:line="400" w:lineRule="exact"/>
        <w:ind w:firstLine="480" w:firstLineChars="200"/>
        <w:rPr>
          <w:sz w:val="24"/>
          <w:szCs w:val="24"/>
        </w:rPr>
      </w:pPr>
      <w:r>
        <w:rPr>
          <w:rFonts w:hint="eastAsia"/>
          <w:sz w:val="24"/>
          <w:szCs w:val="24"/>
        </w:rPr>
        <w:t>2.评价方法</w:t>
      </w:r>
    </w:p>
    <w:p w14:paraId="639B0591">
      <w:pPr>
        <w:spacing w:line="400" w:lineRule="exact"/>
        <w:ind w:firstLine="480" w:firstLineChars="200"/>
        <w:rPr>
          <w:rFonts w:ascii="仿宋_GB2312" w:hAnsi="仿宋_GB2312" w:eastAsia="仿宋_GB2312" w:cs="仿宋_GB2312"/>
          <w:sz w:val="24"/>
          <w:szCs w:val="24"/>
        </w:rPr>
      </w:pPr>
      <w:r>
        <w:rPr>
          <w:rFonts w:hint="eastAsia" w:ascii="仿宋_GB2312" w:hAnsi="Times New Roman" w:eastAsia="仿宋_GB2312" w:cs="Times New Roman"/>
          <w:sz w:val="24"/>
          <w:szCs w:val="24"/>
        </w:rPr>
        <w:t>根据该门课程的特点，比较注重实际的运用，结合中职的实用性办学特点，促使学生能以一技之长，学习评价标准分为认知水平评价和运用能力评价。认知水平分为“了解”和“理解”两个层次，运用评价主要指案例分析能力评价。本课程考核方法采用百分制，包括过程考核和结果考核两部分。结合课堂提问、训练活动、平时测验等进行过程考核评价。过程考核主要从学生纪律及考勤情况、上课学习态度及参加讨论回答问题、作业等方面进行，过程考核占30%。结果考核主要为期末考试，占70%。考试题目注重理论与案例分析相结合，适当增加案例分析内容的考核比重，引导学生改变死记硬背的学习方式，培养学生运用法律法规的基本规定分析、</w:t>
      </w:r>
      <w:r>
        <w:rPr>
          <w:rFonts w:hint="eastAsia" w:ascii="仿宋_GB2312" w:hAnsi="微软雅黑" w:eastAsia="仿宋_GB2312" w:cs="微软雅黑"/>
          <w:sz w:val="24"/>
          <w:szCs w:val="24"/>
        </w:rPr>
        <w:t>解决</w:t>
      </w:r>
      <w:r>
        <w:rPr>
          <w:rFonts w:hint="eastAsia" w:ascii="仿宋_GB2312" w:hAnsi="仿宋_GB2312" w:eastAsia="仿宋_GB2312" w:cs="仿宋_GB2312"/>
          <w:sz w:val="24"/>
          <w:szCs w:val="24"/>
        </w:rPr>
        <w:t>问题的能力。</w:t>
      </w:r>
    </w:p>
    <w:p w14:paraId="20D7C9F8">
      <w:pPr>
        <w:pStyle w:val="17"/>
        <w:spacing w:after="0" w:line="400" w:lineRule="exact"/>
        <w:ind w:firstLine="480" w:firstLineChars="200"/>
        <w:rPr>
          <w:sz w:val="24"/>
          <w:szCs w:val="24"/>
        </w:rPr>
      </w:pPr>
      <w:r>
        <w:rPr>
          <w:rFonts w:hint="eastAsia"/>
          <w:sz w:val="24"/>
          <w:szCs w:val="24"/>
        </w:rPr>
        <w:t>3.教学条件</w:t>
      </w:r>
    </w:p>
    <w:p w14:paraId="28811AFD">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校内有一支结构合理、素质优良、具有良好职业修养的“双师素质”教师队伍，校外有一批既具有丰富的会计实际工作经验，又具有一定理论基础的会计专家参与学习领域课程标准的制定。</w:t>
      </w:r>
    </w:p>
    <w:p w14:paraId="268D0433">
      <w:pPr>
        <w:pStyle w:val="17"/>
        <w:spacing w:after="0" w:line="400" w:lineRule="exact"/>
        <w:ind w:firstLine="480" w:firstLineChars="200"/>
        <w:rPr>
          <w:bCs/>
          <w:sz w:val="24"/>
          <w:szCs w:val="24"/>
        </w:rPr>
      </w:pPr>
      <w:r>
        <w:rPr>
          <w:rFonts w:hint="eastAsia"/>
          <w:bCs/>
          <w:sz w:val="24"/>
          <w:szCs w:val="24"/>
        </w:rPr>
        <w:t>4.教材编选</w:t>
      </w:r>
    </w:p>
    <w:p w14:paraId="4523B02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4133ADD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2.教材的教学内容能够很好地反映经济法基础的新颖性、科学性和实用性。注重教学改革成果。</w:t>
      </w:r>
    </w:p>
    <w:p w14:paraId="2DB763D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w:t>
      </w:r>
      <w:r>
        <w:rPr>
          <w:rFonts w:ascii="仿宋_GB2312" w:hAnsi="Times New Roman" w:eastAsia="仿宋_GB2312" w:cs="Times New Roman"/>
          <w:sz w:val="24"/>
          <w:szCs w:val="24"/>
        </w:rPr>
        <w:t>.</w:t>
      </w:r>
      <w:r>
        <w:rPr>
          <w:rFonts w:hint="eastAsia" w:ascii="仿宋_GB2312" w:hAnsi="Times New Roman" w:eastAsia="仿宋_GB2312" w:cs="Times New Roman"/>
          <w:sz w:val="24"/>
          <w:szCs w:val="24"/>
        </w:rPr>
        <w:t>在教学中应选择较新版本的教材，并根据实际教学的版本及时更新教学 内容，拒绝生搬课本知识，学会活学活用，及时总结。教材编写要体现项目教学的特想与设计思想，内容要体现先进性、实用性，案例的选择要适合教学目的和学生的接受能力。建议加强案例的开发，编写适应中职学生知识、思维特点和要求的案例，提高学生解决实际问题的能力。</w:t>
      </w:r>
    </w:p>
    <w:p w14:paraId="6A77382C">
      <w:pPr>
        <w:spacing w:line="400" w:lineRule="exact"/>
        <w:ind w:firstLine="480" w:firstLineChars="200"/>
        <w:rPr>
          <w:rFonts w:ascii="仿宋_GB2312" w:hAnsi="Times New Roman" w:eastAsia="仿宋_GB2312" w:cs="Times New Roman"/>
          <w:sz w:val="24"/>
          <w:szCs w:val="24"/>
        </w:rPr>
      </w:pPr>
      <w:r>
        <w:rPr>
          <w:rFonts w:ascii="仿宋_GB2312" w:hAnsi="Times New Roman" w:eastAsia="仿宋_GB2312" w:cs="Times New Roman"/>
          <w:sz w:val="24"/>
          <w:szCs w:val="24"/>
        </w:rPr>
        <w:t>4.</w:t>
      </w:r>
      <w:r>
        <w:rPr>
          <w:rFonts w:hint="eastAsia" w:ascii="仿宋_GB2312" w:hAnsi="Times New Roman" w:eastAsia="仿宋_GB2312" w:cs="Times New Roman"/>
          <w:sz w:val="24"/>
          <w:szCs w:val="24"/>
        </w:rPr>
        <w:t>进一步完善网络基础设施，保障网络运行更加畅通、 稳定和安全。围绕会计电算化专业及专业群建设中形成的信息标准、精品课程、主媒体课件与素材、教学视频、教学案例、</w:t>
      </w:r>
      <w:r>
        <w:rPr>
          <w:rFonts w:hint="eastAsia" w:ascii="仿宋_GB2312" w:hAnsi="微软雅黑" w:eastAsia="仿宋_GB2312" w:cs="微软雅黑"/>
          <w:sz w:val="24"/>
          <w:szCs w:val="24"/>
        </w:rPr>
        <w:t>虚拟</w:t>
      </w:r>
      <w:r>
        <w:rPr>
          <w:rFonts w:hint="eastAsia" w:ascii="仿宋_GB2312" w:hAnsi="仿宋_GB2312" w:eastAsia="仿宋_GB2312" w:cs="仿宋_GB2312"/>
          <w:sz w:val="24"/>
          <w:szCs w:val="24"/>
        </w:rPr>
        <w:t>过程库等优质网络教学资源，大力开发数字化教学资源，实现优质教学资源的海</w:t>
      </w:r>
      <w:r>
        <w:rPr>
          <w:rFonts w:hint="eastAsia" w:ascii="仿宋_GB2312" w:hAnsi="Times New Roman" w:eastAsia="仿宋_GB2312" w:cs="Times New Roman"/>
          <w:sz w:val="24"/>
          <w:szCs w:val="24"/>
        </w:rPr>
        <w:t>量存储及共建共享，为学校教学资源库建设提供技术服务。</w:t>
      </w:r>
    </w:p>
    <w:p w14:paraId="2780413D">
      <w:pPr>
        <w:pStyle w:val="17"/>
        <w:spacing w:line="360" w:lineRule="auto"/>
        <w:jc w:val="center"/>
        <w:rPr>
          <w:rFonts w:ascii="黑体" w:hAnsi="黑体" w:eastAsia="黑体"/>
          <w:sz w:val="28"/>
          <w:szCs w:val="28"/>
        </w:rPr>
      </w:pPr>
    </w:p>
    <w:p w14:paraId="4A15CB22">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3058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0B634FE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79A062F5">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4DDDE6EE">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4F455C71">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15FB3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8DB2C27">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2889AEB1">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会计法律制度及体制</w:t>
            </w:r>
          </w:p>
        </w:tc>
        <w:tc>
          <w:tcPr>
            <w:tcW w:w="1980" w:type="dxa"/>
            <w:tcMar>
              <w:top w:w="0" w:type="dxa"/>
              <w:left w:w="108" w:type="dxa"/>
              <w:bottom w:w="0" w:type="dxa"/>
              <w:right w:w="108" w:type="dxa"/>
            </w:tcMar>
            <w:vAlign w:val="center"/>
          </w:tcPr>
          <w:p w14:paraId="1027216C">
            <w:pPr>
              <w:pStyle w:val="178"/>
              <w:spacing w:line="360" w:lineRule="exact"/>
              <w:jc w:val="center"/>
              <w:rPr>
                <w:rFonts w:asciiTheme="minorEastAsia" w:hAnsiTheme="minorEastAsia" w:eastAsiaTheme="minorEastAsia" w:cstheme="minorEastAsia"/>
                <w:spacing w:val="7"/>
                <w:lang w:eastAsia="en-US"/>
              </w:rPr>
            </w:pPr>
            <w:r>
              <w:rPr>
                <w:rFonts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7A1587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4E2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4D3100B6">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68D023C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会计机构及会计人员</w:t>
            </w:r>
          </w:p>
        </w:tc>
        <w:tc>
          <w:tcPr>
            <w:tcW w:w="1980" w:type="dxa"/>
            <w:tcMar>
              <w:top w:w="0" w:type="dxa"/>
              <w:left w:w="108" w:type="dxa"/>
              <w:bottom w:w="0" w:type="dxa"/>
              <w:right w:w="108" w:type="dxa"/>
            </w:tcMar>
            <w:vAlign w:val="center"/>
          </w:tcPr>
          <w:p w14:paraId="7CD0D09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757F56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AB2C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014E752">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77C3A04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支付结算</w:t>
            </w:r>
          </w:p>
        </w:tc>
        <w:tc>
          <w:tcPr>
            <w:tcW w:w="1980" w:type="dxa"/>
            <w:tcMar>
              <w:top w:w="0" w:type="dxa"/>
              <w:left w:w="108" w:type="dxa"/>
              <w:bottom w:w="0" w:type="dxa"/>
              <w:right w:w="108" w:type="dxa"/>
            </w:tcMar>
            <w:vAlign w:val="center"/>
          </w:tcPr>
          <w:p w14:paraId="7961FEE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51EC5A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EAF9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22F8C3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4F8B7CB6">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现金结算账户的认识</w:t>
            </w:r>
          </w:p>
        </w:tc>
        <w:tc>
          <w:tcPr>
            <w:tcW w:w="1980" w:type="dxa"/>
            <w:tcMar>
              <w:top w:w="0" w:type="dxa"/>
              <w:left w:w="108" w:type="dxa"/>
              <w:bottom w:w="0" w:type="dxa"/>
              <w:right w:w="108" w:type="dxa"/>
            </w:tcMar>
            <w:vAlign w:val="center"/>
          </w:tcPr>
          <w:p w14:paraId="20CB9C24">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DAA18A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517A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925573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2AD477B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现金结算账户的适用范围</w:t>
            </w:r>
          </w:p>
        </w:tc>
        <w:tc>
          <w:tcPr>
            <w:tcW w:w="1980" w:type="dxa"/>
            <w:tcMar>
              <w:top w:w="0" w:type="dxa"/>
              <w:left w:w="108" w:type="dxa"/>
              <w:bottom w:w="0" w:type="dxa"/>
              <w:right w:w="108" w:type="dxa"/>
            </w:tcMar>
            <w:vAlign w:val="center"/>
          </w:tcPr>
          <w:p w14:paraId="287400C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216AF0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BF9C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41A158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0F67111D">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现金结算账户的基本要求</w:t>
            </w:r>
          </w:p>
        </w:tc>
        <w:tc>
          <w:tcPr>
            <w:tcW w:w="1980" w:type="dxa"/>
            <w:tcMar>
              <w:top w:w="0" w:type="dxa"/>
              <w:left w:w="108" w:type="dxa"/>
              <w:bottom w:w="0" w:type="dxa"/>
              <w:right w:w="108" w:type="dxa"/>
            </w:tcMar>
            <w:vAlign w:val="center"/>
          </w:tcPr>
          <w:p w14:paraId="328CB3A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4DA002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70303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E0C3A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2ECE854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银行账户结算</w:t>
            </w:r>
          </w:p>
        </w:tc>
        <w:tc>
          <w:tcPr>
            <w:tcW w:w="1980" w:type="dxa"/>
            <w:tcMar>
              <w:top w:w="0" w:type="dxa"/>
              <w:left w:w="108" w:type="dxa"/>
              <w:bottom w:w="0" w:type="dxa"/>
              <w:right w:w="108" w:type="dxa"/>
            </w:tcMar>
            <w:vAlign w:val="center"/>
          </w:tcPr>
          <w:p w14:paraId="5C25BE5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7D61FE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6FF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23F0CC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4CF98FED">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单位银行结算</w:t>
            </w:r>
          </w:p>
        </w:tc>
        <w:tc>
          <w:tcPr>
            <w:tcW w:w="1980" w:type="dxa"/>
            <w:tcMar>
              <w:top w:w="0" w:type="dxa"/>
              <w:left w:w="108" w:type="dxa"/>
              <w:bottom w:w="0" w:type="dxa"/>
              <w:right w:w="108" w:type="dxa"/>
            </w:tcMar>
            <w:vAlign w:val="center"/>
          </w:tcPr>
          <w:p w14:paraId="54064B8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60A3BCA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F22E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16B43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74948ACC">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票据的类型</w:t>
            </w:r>
          </w:p>
        </w:tc>
        <w:tc>
          <w:tcPr>
            <w:tcW w:w="1980" w:type="dxa"/>
            <w:tcMar>
              <w:top w:w="0" w:type="dxa"/>
              <w:left w:w="108" w:type="dxa"/>
              <w:bottom w:w="0" w:type="dxa"/>
              <w:right w:w="108" w:type="dxa"/>
            </w:tcMar>
            <w:vAlign w:val="center"/>
          </w:tcPr>
          <w:p w14:paraId="1555654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5C95068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308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B8EC5A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0</w:t>
            </w:r>
          </w:p>
        </w:tc>
        <w:tc>
          <w:tcPr>
            <w:tcW w:w="3079" w:type="dxa"/>
            <w:tcMar>
              <w:top w:w="0" w:type="dxa"/>
              <w:left w:w="108" w:type="dxa"/>
              <w:bottom w:w="0" w:type="dxa"/>
              <w:right w:w="108" w:type="dxa"/>
            </w:tcMar>
            <w:vAlign w:val="center"/>
          </w:tcPr>
          <w:p w14:paraId="47540E46">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票据的计算方式</w:t>
            </w:r>
          </w:p>
        </w:tc>
        <w:tc>
          <w:tcPr>
            <w:tcW w:w="1980" w:type="dxa"/>
            <w:tcMar>
              <w:top w:w="0" w:type="dxa"/>
              <w:left w:w="108" w:type="dxa"/>
              <w:bottom w:w="0" w:type="dxa"/>
              <w:right w:w="108" w:type="dxa"/>
            </w:tcMar>
            <w:vAlign w:val="center"/>
          </w:tcPr>
          <w:p w14:paraId="6530D45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52AEB33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EA4D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AD8A37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1</w:t>
            </w:r>
          </w:p>
        </w:tc>
        <w:tc>
          <w:tcPr>
            <w:tcW w:w="3079" w:type="dxa"/>
            <w:tcMar>
              <w:top w:w="0" w:type="dxa"/>
              <w:left w:w="108" w:type="dxa"/>
              <w:bottom w:w="0" w:type="dxa"/>
              <w:right w:w="108" w:type="dxa"/>
            </w:tcMar>
            <w:vAlign w:val="center"/>
          </w:tcPr>
          <w:p w14:paraId="66100D3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期中考试</w:t>
            </w:r>
          </w:p>
        </w:tc>
        <w:tc>
          <w:tcPr>
            <w:tcW w:w="1980" w:type="dxa"/>
            <w:tcMar>
              <w:top w:w="0" w:type="dxa"/>
              <w:left w:w="108" w:type="dxa"/>
              <w:bottom w:w="0" w:type="dxa"/>
              <w:right w:w="108" w:type="dxa"/>
            </w:tcMar>
            <w:vAlign w:val="center"/>
          </w:tcPr>
          <w:p w14:paraId="78D74F5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DE5F9E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考试</w:t>
            </w:r>
          </w:p>
        </w:tc>
      </w:tr>
      <w:tr w14:paraId="10C7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9419E3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2</w:t>
            </w:r>
          </w:p>
        </w:tc>
        <w:tc>
          <w:tcPr>
            <w:tcW w:w="3079" w:type="dxa"/>
            <w:tcMar>
              <w:top w:w="0" w:type="dxa"/>
              <w:left w:w="108" w:type="dxa"/>
              <w:bottom w:w="0" w:type="dxa"/>
              <w:right w:w="108" w:type="dxa"/>
            </w:tcMar>
            <w:vAlign w:val="center"/>
          </w:tcPr>
          <w:p w14:paraId="665D642F">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税收的认识</w:t>
            </w:r>
          </w:p>
        </w:tc>
        <w:tc>
          <w:tcPr>
            <w:tcW w:w="1980" w:type="dxa"/>
            <w:tcMar>
              <w:top w:w="0" w:type="dxa"/>
              <w:left w:w="108" w:type="dxa"/>
              <w:bottom w:w="0" w:type="dxa"/>
              <w:right w:w="108" w:type="dxa"/>
            </w:tcMar>
            <w:vAlign w:val="center"/>
          </w:tcPr>
          <w:p w14:paraId="0C00514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4791D2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D470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BC9936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7AE75F0E">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税法的构成要素</w:t>
            </w:r>
          </w:p>
        </w:tc>
        <w:tc>
          <w:tcPr>
            <w:tcW w:w="1980" w:type="dxa"/>
            <w:tcMar>
              <w:top w:w="0" w:type="dxa"/>
              <w:left w:w="108" w:type="dxa"/>
              <w:bottom w:w="0" w:type="dxa"/>
              <w:right w:w="108" w:type="dxa"/>
            </w:tcMar>
            <w:vAlign w:val="center"/>
          </w:tcPr>
          <w:p w14:paraId="732CE33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795679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EDB6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8FBF46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4D797909">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现行税种的种类及征税范围</w:t>
            </w:r>
          </w:p>
        </w:tc>
        <w:tc>
          <w:tcPr>
            <w:tcW w:w="1980" w:type="dxa"/>
            <w:tcMar>
              <w:top w:w="0" w:type="dxa"/>
              <w:left w:w="108" w:type="dxa"/>
              <w:bottom w:w="0" w:type="dxa"/>
              <w:right w:w="108" w:type="dxa"/>
            </w:tcMar>
            <w:vAlign w:val="center"/>
          </w:tcPr>
          <w:p w14:paraId="01983D1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936BBB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B5F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17AE1A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1A14A7F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主要税种应纳税额的计算</w:t>
            </w:r>
          </w:p>
        </w:tc>
        <w:tc>
          <w:tcPr>
            <w:tcW w:w="1980" w:type="dxa"/>
            <w:tcMar>
              <w:top w:w="0" w:type="dxa"/>
              <w:left w:w="108" w:type="dxa"/>
              <w:bottom w:w="0" w:type="dxa"/>
              <w:right w:w="108" w:type="dxa"/>
            </w:tcMar>
            <w:vAlign w:val="center"/>
          </w:tcPr>
          <w:p w14:paraId="639C61F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C77586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D8D6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F0257D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16E73D2B">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税收征管环节</w:t>
            </w:r>
          </w:p>
        </w:tc>
        <w:tc>
          <w:tcPr>
            <w:tcW w:w="1980" w:type="dxa"/>
            <w:tcMar>
              <w:top w:w="0" w:type="dxa"/>
              <w:left w:w="108" w:type="dxa"/>
              <w:bottom w:w="0" w:type="dxa"/>
              <w:right w:w="108" w:type="dxa"/>
            </w:tcMar>
            <w:vAlign w:val="center"/>
          </w:tcPr>
          <w:p w14:paraId="1AD3224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55EFFE6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970B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F34A04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69A743D6">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预算法律制度及国家预算</w:t>
            </w:r>
          </w:p>
        </w:tc>
        <w:tc>
          <w:tcPr>
            <w:tcW w:w="1980" w:type="dxa"/>
            <w:tcMar>
              <w:top w:w="0" w:type="dxa"/>
              <w:left w:w="108" w:type="dxa"/>
              <w:bottom w:w="0" w:type="dxa"/>
              <w:right w:w="108" w:type="dxa"/>
            </w:tcMar>
            <w:vAlign w:val="center"/>
          </w:tcPr>
          <w:p w14:paraId="2245459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96E87B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1B85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2FD702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3F99EE4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政府采购与国库集中收付</w:t>
            </w:r>
          </w:p>
        </w:tc>
        <w:tc>
          <w:tcPr>
            <w:tcW w:w="1980" w:type="dxa"/>
            <w:tcMar>
              <w:top w:w="0" w:type="dxa"/>
              <w:left w:w="108" w:type="dxa"/>
              <w:bottom w:w="0" w:type="dxa"/>
              <w:right w:w="108" w:type="dxa"/>
            </w:tcMar>
            <w:vAlign w:val="center"/>
          </w:tcPr>
          <w:p w14:paraId="2D6581C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6F2D5F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1166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72843E4">
            <w:pPr>
              <w:spacing w:line="360" w:lineRule="exact"/>
              <w:jc w:val="center"/>
              <w:rPr>
                <w:rFonts w:asciiTheme="minorEastAsia" w:hAnsiTheme="minorEastAsia" w:cstheme="minorEastAsia"/>
                <w:snapToGrid w:val="0"/>
                <w:color w:val="000000"/>
                <w:position w:val="-3"/>
                <w:lang w:eastAsia="en-US"/>
              </w:rPr>
            </w:pPr>
            <w:r>
              <w:rPr>
                <w:rFonts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397F409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职业道德及职业道德教育</w:t>
            </w:r>
          </w:p>
        </w:tc>
        <w:tc>
          <w:tcPr>
            <w:tcW w:w="1980" w:type="dxa"/>
            <w:tcMar>
              <w:top w:w="0" w:type="dxa"/>
              <w:left w:w="108" w:type="dxa"/>
              <w:bottom w:w="0" w:type="dxa"/>
              <w:right w:w="108" w:type="dxa"/>
            </w:tcMar>
            <w:vAlign w:val="center"/>
          </w:tcPr>
          <w:p w14:paraId="71B8068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310667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AB4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9835B05">
            <w:pPr>
              <w:spacing w:line="360" w:lineRule="exact"/>
              <w:jc w:val="center"/>
              <w:rPr>
                <w:rFonts w:asciiTheme="minorEastAsia" w:hAnsiTheme="minorEastAsia" w:cstheme="minorEastAsia"/>
                <w:snapToGrid w:val="0"/>
                <w:color w:val="000000"/>
                <w:position w:val="-3"/>
                <w:lang w:eastAsia="en-US"/>
              </w:rPr>
            </w:pPr>
            <w:r>
              <w:rPr>
                <w:rFonts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0CC52CF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期末考试</w:t>
            </w:r>
          </w:p>
        </w:tc>
        <w:tc>
          <w:tcPr>
            <w:tcW w:w="1980" w:type="dxa"/>
            <w:tcMar>
              <w:top w:w="0" w:type="dxa"/>
              <w:left w:w="108" w:type="dxa"/>
              <w:bottom w:w="0" w:type="dxa"/>
              <w:right w:w="108" w:type="dxa"/>
            </w:tcMar>
            <w:vAlign w:val="center"/>
          </w:tcPr>
          <w:p w14:paraId="3A6B40C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B8D1E7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考试</w:t>
            </w:r>
          </w:p>
        </w:tc>
      </w:tr>
    </w:tbl>
    <w:p w14:paraId="2661CD32">
      <w:pPr>
        <w:widowControl/>
        <w:rPr>
          <w:rFonts w:ascii="黑体" w:hAnsi="黑体" w:eastAsia="黑体"/>
          <w:sz w:val="24"/>
          <w:szCs w:val="24"/>
        </w:rPr>
      </w:pPr>
      <w:r>
        <w:rPr>
          <w:rFonts w:ascii="黑体" w:hAnsi="黑体" w:eastAsia="黑体"/>
          <w:sz w:val="24"/>
          <w:szCs w:val="24"/>
        </w:rPr>
        <w:br w:type="page"/>
      </w:r>
    </w:p>
    <w:p w14:paraId="1B379A7A">
      <w:pPr>
        <w:pStyle w:val="17"/>
        <w:spacing w:before="156" w:beforeLines="50" w:after="156" w:afterLines="50"/>
        <w:jc w:val="center"/>
        <w:outlineLvl w:val="2"/>
        <w:rPr>
          <w:rFonts w:ascii="黑体" w:hAnsi="黑体" w:eastAsia="黑体" w:cs="黑体"/>
          <w:sz w:val="30"/>
          <w:szCs w:val="30"/>
        </w:rPr>
      </w:pPr>
      <w:bookmarkStart w:id="163" w:name="_Toc12017"/>
      <w:bookmarkStart w:id="164" w:name="_Toc30190"/>
      <w:bookmarkStart w:id="165" w:name="_Toc12790"/>
      <w:r>
        <w:rPr>
          <w:rFonts w:hint="eastAsia" w:ascii="黑体" w:hAnsi="黑体" w:eastAsia="黑体" w:cs="黑体"/>
          <w:sz w:val="30"/>
          <w:szCs w:val="30"/>
        </w:rPr>
        <w:t>大数据应用基础课程标准</w:t>
      </w:r>
      <w:bookmarkEnd w:id="163"/>
      <w:bookmarkEnd w:id="164"/>
      <w:bookmarkEnd w:id="165"/>
    </w:p>
    <w:p w14:paraId="2FE44E35">
      <w:pPr>
        <w:pStyle w:val="17"/>
        <w:spacing w:after="0" w:line="400" w:lineRule="exact"/>
        <w:ind w:firstLine="560" w:firstLineChars="200"/>
        <w:rPr>
          <w:rFonts w:ascii="楷体_GB2312" w:eastAsia="楷体_GB2312"/>
          <w:sz w:val="28"/>
          <w:szCs w:val="28"/>
        </w:rPr>
      </w:pPr>
    </w:p>
    <w:p w14:paraId="37B48D18">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284776F0">
      <w:pPr>
        <w:spacing w:line="400" w:lineRule="exact"/>
        <w:ind w:firstLine="480" w:firstLineChars="200"/>
        <w:rPr>
          <w:rFonts w:ascii="仿宋_GB2312" w:hAnsi="Times New Roman" w:eastAsia="仿宋_GB2312" w:cs="Times New Roman"/>
          <w:color w:val="000000"/>
          <w:sz w:val="24"/>
          <w:szCs w:val="24"/>
        </w:rPr>
      </w:pPr>
      <w:r>
        <w:rPr>
          <w:rFonts w:hint="eastAsia" w:ascii="仿宋_GB2312" w:hAnsi="Times New Roman" w:eastAsia="仿宋_GB2312" w:cs="仿宋_GB2312"/>
          <w:color w:val="000000"/>
          <w:sz w:val="24"/>
          <w:szCs w:val="24"/>
        </w:rPr>
        <w:t>《大数据应用基础》是会计专业开设的一门专业选修课，是一门面向各类专业的大数据应用通识性课程。本课程旨在通过介绍大数据产生、大数据技术基础、大数据处理、分析、挖掘和可视化的完整过程，让学生了解大数据的概念及其应用价值，全方位了解理论知识。同时结合工具和开发语言实现数据采集、存储、处理、分析、挖掘以及可视化等操作，利用践操作和应用案例促进学生动手分析能力，掌握运用大数据分析软件的技能和方法。该课程为进一步结合其他财经类专业课程和有关实训实践活动以及今后从事财会工作打下坚实的基础，培养出具有良好职业胜任能力的高素质人才。</w:t>
      </w:r>
    </w:p>
    <w:p w14:paraId="422C826D">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6AAE52F0">
      <w:pPr>
        <w:pStyle w:val="17"/>
        <w:spacing w:after="0" w:line="400" w:lineRule="exact"/>
        <w:ind w:firstLine="480" w:firstLineChars="200"/>
        <w:rPr>
          <w:sz w:val="24"/>
          <w:szCs w:val="24"/>
        </w:rPr>
      </w:pPr>
      <w:r>
        <w:rPr>
          <w:rFonts w:hint="eastAsia"/>
          <w:sz w:val="24"/>
          <w:szCs w:val="24"/>
        </w:rPr>
        <w:t>1</w:t>
      </w:r>
      <w:r>
        <w:rPr>
          <w:sz w:val="24"/>
          <w:szCs w:val="24"/>
        </w:rPr>
        <w:t>.素质目标</w:t>
      </w:r>
    </w:p>
    <w:p w14:paraId="5656A9DA">
      <w:pPr>
        <w:pStyle w:val="17"/>
        <w:spacing w:after="0" w:line="400" w:lineRule="exact"/>
        <w:ind w:firstLine="420"/>
        <w:rPr>
          <w:sz w:val="24"/>
          <w:szCs w:val="24"/>
        </w:rPr>
      </w:pPr>
      <w:r>
        <w:rPr>
          <w:rFonts w:hint="eastAsia"/>
          <w:sz w:val="24"/>
          <w:szCs w:val="24"/>
        </w:rPr>
        <w:t>（1）</w:t>
      </w:r>
      <w:r>
        <w:rPr>
          <w:rFonts w:hint="eastAsia" w:ascii="仿宋_GB2312" w:hAnsi="仿宋_GB2312" w:cs="仿宋_GB2312"/>
          <w:color w:val="000000"/>
          <w:sz w:val="24"/>
          <w:szCs w:val="24"/>
        </w:rPr>
        <w:t>具有较强的心理素质和良好的职业胜任能力；</w:t>
      </w:r>
    </w:p>
    <w:p w14:paraId="5661026A">
      <w:pPr>
        <w:pStyle w:val="17"/>
        <w:spacing w:after="0" w:line="400" w:lineRule="exact"/>
        <w:ind w:firstLine="420"/>
        <w:rPr>
          <w:rFonts w:ascii="仿宋_GB2312" w:hAnsi="仿宋_GB2312" w:cs="仿宋_GB2312"/>
          <w:sz w:val="24"/>
          <w:szCs w:val="24"/>
        </w:rPr>
      </w:pPr>
      <w:r>
        <w:rPr>
          <w:rFonts w:hint="eastAsia"/>
          <w:sz w:val="24"/>
          <w:szCs w:val="24"/>
        </w:rPr>
        <w:t>（2）</w:t>
      </w:r>
      <w:r>
        <w:rPr>
          <w:rFonts w:hint="eastAsia" w:ascii="仿宋_GB2312" w:hAnsi="仿宋_GB2312" w:cs="仿宋_GB2312"/>
          <w:color w:val="000000"/>
          <w:sz w:val="24"/>
          <w:szCs w:val="24"/>
        </w:rPr>
        <w:t>具有良好的团队沟通与协作能力；</w:t>
      </w:r>
    </w:p>
    <w:p w14:paraId="49BD781E">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（3）</w:t>
      </w:r>
      <w:r>
        <w:rPr>
          <w:rFonts w:hint="eastAsia" w:ascii="仿宋_GB2312" w:hAnsi="仿宋_GB2312" w:cs="仿宋_GB2312"/>
          <w:color w:val="000000"/>
          <w:sz w:val="24"/>
          <w:szCs w:val="24"/>
        </w:rPr>
        <w:t>能够与时俱进，了解最新专业知识与政策的能力；</w:t>
      </w:r>
    </w:p>
    <w:p w14:paraId="5DFEB595">
      <w:pPr>
        <w:pStyle w:val="17"/>
        <w:spacing w:after="0" w:line="400" w:lineRule="exact"/>
        <w:ind w:firstLine="420"/>
        <w:rPr>
          <w:rFonts w:ascii="仿宋_GB2312" w:hAnsi="仿宋_GB2312" w:cs="仿宋_GB2312"/>
          <w:color w:val="000000"/>
          <w:sz w:val="24"/>
          <w:szCs w:val="24"/>
        </w:rPr>
      </w:pPr>
      <w:r>
        <w:rPr>
          <w:rFonts w:hint="eastAsia" w:ascii="仿宋_GB2312" w:hAnsi="仿宋_GB2312" w:cs="仿宋_GB2312"/>
          <w:sz w:val="24"/>
          <w:szCs w:val="24"/>
        </w:rPr>
        <w:t>（4）</w:t>
      </w:r>
      <w:r>
        <w:rPr>
          <w:rFonts w:hint="eastAsia" w:ascii="仿宋_GB2312" w:hAnsi="仿宋_GB2312" w:cs="仿宋_GB2312"/>
          <w:color w:val="000000"/>
          <w:sz w:val="24"/>
          <w:szCs w:val="24"/>
        </w:rPr>
        <w:t>具有独立分析的能力和严谨治学的科学态度；</w:t>
      </w:r>
    </w:p>
    <w:p w14:paraId="79DFFE35">
      <w:pPr>
        <w:pStyle w:val="17"/>
        <w:spacing w:after="0" w:line="400" w:lineRule="exact"/>
        <w:ind w:firstLine="420"/>
        <w:rPr>
          <w:sz w:val="24"/>
          <w:szCs w:val="24"/>
        </w:rPr>
      </w:pPr>
      <w:r>
        <w:rPr>
          <w:rFonts w:hint="eastAsia" w:ascii="仿宋_GB2312" w:hAnsi="仿宋_GB2312" w:cs="仿宋_GB2312"/>
          <w:color w:val="000000"/>
          <w:sz w:val="24"/>
          <w:szCs w:val="24"/>
        </w:rPr>
        <w:t>（5）具有敢为人先的创新意识和精益求精的工作态度。</w:t>
      </w:r>
    </w:p>
    <w:p w14:paraId="4E8FE179">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7EB84453">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（1）</w:t>
      </w:r>
      <w:r>
        <w:rPr>
          <w:rFonts w:hint="eastAsia" w:ascii="仿宋_GB2312" w:hAnsi="仿宋_GB2312" w:cs="仿宋_GB2312"/>
          <w:color w:val="000000"/>
          <w:sz w:val="24"/>
          <w:szCs w:val="24"/>
        </w:rPr>
        <w:t>掌握大数据的处理流程；</w:t>
      </w:r>
    </w:p>
    <w:p w14:paraId="5F31C8CC">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（2）</w:t>
      </w:r>
      <w:r>
        <w:rPr>
          <w:rFonts w:hint="eastAsia" w:ascii="仿宋_GB2312" w:hAnsi="仿宋_GB2312" w:cs="仿宋_GB2312"/>
          <w:color w:val="000000"/>
          <w:sz w:val="24"/>
          <w:szCs w:val="24"/>
        </w:rPr>
        <w:t>掌握大数据的应用领域；</w:t>
      </w:r>
    </w:p>
    <w:p w14:paraId="62AF123A">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（3）</w:t>
      </w:r>
      <w:r>
        <w:rPr>
          <w:rFonts w:hint="eastAsia" w:ascii="仿宋_GB2312" w:hAnsi="仿宋_GB2312" w:cs="仿宋_GB2312"/>
          <w:color w:val="000000"/>
          <w:sz w:val="24"/>
          <w:szCs w:val="24"/>
        </w:rPr>
        <w:t>理解大数据分析的主要技术；</w:t>
      </w:r>
    </w:p>
    <w:p w14:paraId="0769B7B1">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（4）</w:t>
      </w:r>
      <w:r>
        <w:rPr>
          <w:rFonts w:hint="eastAsia" w:ascii="仿宋_GB2312" w:hAnsi="仿宋_GB2312" w:cs="仿宋_GB2312"/>
          <w:color w:val="000000"/>
          <w:sz w:val="24"/>
          <w:szCs w:val="24"/>
        </w:rPr>
        <w:t>理解大数据可视化工具的应用；</w:t>
      </w:r>
    </w:p>
    <w:p w14:paraId="0B7DFCC7">
      <w:pPr>
        <w:pStyle w:val="17"/>
        <w:spacing w:after="0" w:line="400" w:lineRule="exact"/>
        <w:ind w:firstLine="420"/>
        <w:rPr>
          <w:rFonts w:ascii="仿宋_GB2312" w:hAnsi="仿宋_GB2312" w:cs="仿宋_GB2312"/>
          <w:color w:val="000000"/>
          <w:sz w:val="24"/>
          <w:szCs w:val="24"/>
        </w:rPr>
      </w:pPr>
      <w:r>
        <w:rPr>
          <w:rFonts w:hint="eastAsia" w:ascii="仿宋_GB2312" w:hAnsi="仿宋_GB2312" w:cs="仿宋_GB2312"/>
          <w:sz w:val="24"/>
          <w:szCs w:val="24"/>
        </w:rPr>
        <w:t>（5）</w:t>
      </w:r>
      <w:r>
        <w:rPr>
          <w:rFonts w:hint="eastAsia" w:ascii="仿宋_GB2312" w:hAnsi="仿宋_GB2312" w:cs="仿宋_GB2312"/>
          <w:color w:val="000000"/>
          <w:sz w:val="24"/>
          <w:szCs w:val="24"/>
        </w:rPr>
        <w:t>掌握Hadoop的架构与组成；</w:t>
      </w:r>
    </w:p>
    <w:p w14:paraId="456BE410">
      <w:pPr>
        <w:pStyle w:val="17"/>
        <w:spacing w:after="0" w:line="400" w:lineRule="exact"/>
        <w:ind w:firstLine="420"/>
        <w:rPr>
          <w:rFonts w:ascii="仿宋_GB2312" w:hAnsi="仿宋_GB2312" w:cs="仿宋_GB2312"/>
          <w:color w:val="000000"/>
          <w:sz w:val="24"/>
          <w:szCs w:val="24"/>
        </w:rPr>
      </w:pPr>
      <w:r>
        <w:rPr>
          <w:rFonts w:hint="eastAsia" w:ascii="仿宋_GB2312" w:hAnsi="仿宋_GB2312" w:cs="仿宋_GB2312"/>
          <w:color w:val="000000"/>
          <w:sz w:val="24"/>
          <w:szCs w:val="24"/>
        </w:rPr>
        <w:t>（6）掌握MapReduce的概念、内涵；</w:t>
      </w:r>
    </w:p>
    <w:p w14:paraId="44D07A15">
      <w:pPr>
        <w:pStyle w:val="17"/>
        <w:spacing w:after="0" w:line="400" w:lineRule="exact"/>
        <w:ind w:firstLine="420"/>
        <w:rPr>
          <w:rFonts w:ascii="仿宋_GB2312" w:hAnsi="仿宋_GB2312" w:cs="仿宋_GB2312"/>
          <w:sz w:val="24"/>
          <w:szCs w:val="24"/>
        </w:rPr>
      </w:pPr>
      <w:r>
        <w:rPr>
          <w:rFonts w:hint="eastAsia" w:ascii="仿宋_GB2312" w:hAnsi="仿宋_GB2312" w:cs="仿宋_GB2312"/>
          <w:color w:val="000000"/>
          <w:sz w:val="24"/>
          <w:szCs w:val="24"/>
        </w:rPr>
        <w:t>（5）掌握Spark与Hadoop的优势与缺陷。</w:t>
      </w:r>
    </w:p>
    <w:p w14:paraId="26E9349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318EC38A">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（1）</w:t>
      </w:r>
      <w:r>
        <w:rPr>
          <w:rFonts w:hint="eastAsia" w:ascii="仿宋_GB2312" w:hAnsi="仿宋_GB2312" w:cs="仿宋_GB2312"/>
          <w:color w:val="000000"/>
          <w:sz w:val="24"/>
          <w:szCs w:val="24"/>
        </w:rPr>
        <w:t>培养学生分析和解决实际问题的能力；</w:t>
      </w:r>
    </w:p>
    <w:p w14:paraId="2E96CB37">
      <w:pPr>
        <w:pStyle w:val="17"/>
        <w:spacing w:after="0" w:line="400" w:lineRule="exact"/>
        <w:ind w:firstLine="420"/>
        <w:rPr>
          <w:rFonts w:ascii="仿宋_GB2312" w:hAnsi="仿宋_GB2312" w:cs="仿宋_GB2312"/>
          <w:sz w:val="24"/>
          <w:szCs w:val="24"/>
        </w:rPr>
      </w:pPr>
      <w:r>
        <w:rPr>
          <w:rFonts w:hint="eastAsia" w:ascii="仿宋_GB2312" w:hAnsi="仿宋_GB2312" w:cs="仿宋_GB2312"/>
          <w:sz w:val="24"/>
          <w:szCs w:val="24"/>
        </w:rPr>
        <w:t>（2）</w:t>
      </w:r>
      <w:r>
        <w:rPr>
          <w:rFonts w:hint="eastAsia" w:ascii="仿宋_GB2312" w:hAnsi="仿宋_GB2312" w:cs="仿宋_GB2312"/>
          <w:color w:val="000000"/>
          <w:sz w:val="24"/>
          <w:szCs w:val="24"/>
        </w:rPr>
        <w:t>完成大数据应用基础的学习。</w:t>
      </w:r>
    </w:p>
    <w:p w14:paraId="19B8DF40">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3BEF19D5">
      <w:pPr>
        <w:autoSpaceDE w:val="0"/>
        <w:autoSpaceDN w:val="0"/>
        <w:adjustRightInd w:val="0"/>
        <w:spacing w:line="400" w:lineRule="exact"/>
        <w:ind w:firstLine="480" w:firstLineChars="200"/>
        <w:rPr>
          <w:rFonts w:ascii="仿宋_GB2312" w:eastAsia="仿宋_GB2312" w:cs="仿宋_GB2312"/>
          <w:sz w:val="24"/>
          <w:szCs w:val="24"/>
        </w:rPr>
      </w:pPr>
      <w:r>
        <w:rPr>
          <w:rFonts w:ascii="仿宋_GB2312" w:eastAsia="仿宋_GB2312" w:cs="仿宋_GB2312"/>
          <w:sz w:val="24"/>
          <w:szCs w:val="24"/>
        </w:rPr>
        <w:t>36</w:t>
      </w:r>
      <w:r>
        <w:rPr>
          <w:rFonts w:hint="eastAsia" w:ascii="仿宋_GB2312" w:eastAsia="仿宋_GB2312" w:cs="仿宋_GB2312"/>
          <w:sz w:val="24"/>
          <w:szCs w:val="24"/>
        </w:rPr>
        <w:t>学时。</w:t>
      </w:r>
    </w:p>
    <w:p w14:paraId="4953C9E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457D761A">
      <w:pPr>
        <w:autoSpaceDE w:val="0"/>
        <w:autoSpaceDN w:val="0"/>
        <w:adjustRightInd w:val="0"/>
        <w:spacing w:line="400" w:lineRule="exact"/>
        <w:ind w:firstLine="480" w:firstLineChars="200"/>
        <w:rPr>
          <w:rFonts w:ascii="仿宋_GB2312" w:eastAsia="仿宋_GB2312" w:cs="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学分。</w:t>
      </w:r>
    </w:p>
    <w:p w14:paraId="190DE15B">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w:t>
      </w:r>
      <w:r>
        <w:rPr>
          <w:rFonts w:hint="eastAsia" w:ascii="微软雅黑" w:hAnsi="微软雅黑" w:eastAsia="微软雅黑" w:cs="微软雅黑"/>
          <w:sz w:val="24"/>
          <w:szCs w:val="24"/>
        </w:rPr>
        <w:t>五</w:t>
      </w:r>
      <w:r>
        <w:rPr>
          <w:rFonts w:hint="eastAsia" w:ascii="___WRD_EMBED_SUB_44" w:hAnsi="___WRD_EMBED_SUB_44" w:eastAsia="___WRD_EMBED_SUB_44" w:cs="___WRD_EMBED_SUB_44"/>
          <w:sz w:val="24"/>
          <w:szCs w:val="24"/>
        </w:rPr>
        <w:t>）</w:t>
      </w:r>
      <w:r>
        <w:rPr>
          <w:rFonts w:hint="eastAsia" w:ascii="微软雅黑" w:hAnsi="微软雅黑" w:eastAsia="微软雅黑" w:cs="微软雅黑"/>
          <w:sz w:val="24"/>
          <w:szCs w:val="24"/>
        </w:rPr>
        <w:t>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16A2A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5C4C3B6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5D04E9A7">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7BCF8D0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3E9C9C6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1C54DA6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6B1A57D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7B0C2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21C0511">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476E0FDC">
            <w:pPr>
              <w:adjustRightInd w:val="0"/>
              <w:spacing w:line="360" w:lineRule="exact"/>
              <w:rPr>
                <w:rFonts w:asciiTheme="minorEastAsia" w:hAnsiTheme="minorEastAsia" w:cstheme="minorEastAsia"/>
              </w:rPr>
            </w:pPr>
            <w:r>
              <w:rPr>
                <w:rFonts w:hint="eastAsia"/>
                <w:color w:val="000000"/>
              </w:rPr>
              <w:t>大数据技术概述</w:t>
            </w:r>
          </w:p>
        </w:tc>
        <w:tc>
          <w:tcPr>
            <w:tcW w:w="2880" w:type="dxa"/>
            <w:vAlign w:val="center"/>
          </w:tcPr>
          <w:p w14:paraId="26911E6C">
            <w:pPr>
              <w:rPr>
                <w:color w:val="000000"/>
              </w:rPr>
            </w:pPr>
            <w:r>
              <w:rPr>
                <w:color w:val="000000"/>
              </w:rPr>
              <w:t>1.</w:t>
            </w:r>
            <w:r>
              <w:rPr>
                <w:rFonts w:hint="eastAsia"/>
                <w:color w:val="000000"/>
              </w:rPr>
              <w:t>了解大数据的基本概念、特点和概念；</w:t>
            </w:r>
          </w:p>
          <w:p w14:paraId="5447C072">
            <w:pPr>
              <w:rPr>
                <w:color w:val="000000"/>
              </w:rPr>
            </w:pPr>
            <w:r>
              <w:rPr>
                <w:color w:val="000000"/>
              </w:rPr>
              <w:t>2.</w:t>
            </w:r>
            <w:r>
              <w:rPr>
                <w:rFonts w:hint="eastAsia"/>
                <w:color w:val="000000"/>
              </w:rPr>
              <w:t>掌握大数据的处理流程；</w:t>
            </w:r>
          </w:p>
          <w:p w14:paraId="4D21BE6B">
            <w:pPr>
              <w:rPr>
                <w:color w:val="000000"/>
              </w:rPr>
            </w:pPr>
            <w:r>
              <w:rPr>
                <w:color w:val="000000"/>
              </w:rPr>
              <w:t>3.</w:t>
            </w:r>
            <w:r>
              <w:rPr>
                <w:rFonts w:hint="eastAsia"/>
                <w:color w:val="000000"/>
              </w:rPr>
              <w:t>掌握大数据的应用领域；</w:t>
            </w:r>
          </w:p>
          <w:p w14:paraId="565663DD">
            <w:pPr>
              <w:adjustRightInd w:val="0"/>
              <w:spacing w:line="360" w:lineRule="exact"/>
              <w:rPr>
                <w:rFonts w:asciiTheme="minorEastAsia" w:hAnsiTheme="minorEastAsia" w:cstheme="minorEastAsia"/>
              </w:rPr>
            </w:pPr>
            <w:r>
              <w:rPr>
                <w:color w:val="000000"/>
              </w:rPr>
              <w:t>4.</w:t>
            </w:r>
            <w:r>
              <w:rPr>
                <w:rFonts w:hint="eastAsia"/>
                <w:color w:val="000000"/>
              </w:rPr>
              <w:t>了解大数据未来发展趋势。</w:t>
            </w:r>
          </w:p>
        </w:tc>
        <w:tc>
          <w:tcPr>
            <w:tcW w:w="2682" w:type="dxa"/>
            <w:vAlign w:val="center"/>
          </w:tcPr>
          <w:p w14:paraId="73EFBE5C">
            <w:pPr>
              <w:rPr>
                <w:color w:val="000000"/>
              </w:rPr>
            </w:pPr>
            <w:r>
              <w:rPr>
                <w:color w:val="000000"/>
              </w:rPr>
              <w:t>1.</w:t>
            </w:r>
            <w:r>
              <w:rPr>
                <w:rFonts w:hint="eastAsia"/>
                <w:color w:val="000000"/>
              </w:rPr>
              <w:t>多媒体演示，了解大数据概念；</w:t>
            </w:r>
          </w:p>
          <w:p w14:paraId="52173F43">
            <w:pPr>
              <w:rPr>
                <w:color w:val="000000"/>
              </w:rPr>
            </w:pPr>
            <w:r>
              <w:rPr>
                <w:color w:val="000000"/>
              </w:rPr>
              <w:t>2.</w:t>
            </w:r>
            <w:r>
              <w:rPr>
                <w:rFonts w:hint="eastAsia"/>
                <w:color w:val="000000"/>
              </w:rPr>
              <w:t>通过实物或图片展示大数据的应用领域；</w:t>
            </w:r>
          </w:p>
          <w:p w14:paraId="3AF5F2D7">
            <w:pPr>
              <w:spacing w:line="360" w:lineRule="exact"/>
              <w:rPr>
                <w:rFonts w:asciiTheme="minorEastAsia" w:hAnsiTheme="minorEastAsia" w:cstheme="minorEastAsia"/>
              </w:rPr>
            </w:pPr>
            <w:r>
              <w:rPr>
                <w:rFonts w:hint="eastAsia"/>
                <w:color w:val="000000"/>
              </w:rPr>
              <w:t>3.引导学生更新思想的进程，善于结合当前的专业热点进行学习。</w:t>
            </w:r>
          </w:p>
        </w:tc>
        <w:tc>
          <w:tcPr>
            <w:tcW w:w="724" w:type="dxa"/>
            <w:vAlign w:val="center"/>
          </w:tcPr>
          <w:p w14:paraId="2F963265">
            <w:pPr>
              <w:adjustRightInd w:val="0"/>
              <w:spacing w:line="360" w:lineRule="exact"/>
              <w:jc w:val="center"/>
              <w:rPr>
                <w:rFonts w:asciiTheme="minorEastAsia" w:hAnsiTheme="minorEastAsia" w:cstheme="minorEastAsia"/>
              </w:rPr>
            </w:pPr>
            <w:r>
              <w:rPr>
                <w:rFonts w:asciiTheme="minorEastAsia" w:hAnsiTheme="minorEastAsia" w:cstheme="minorEastAsia"/>
              </w:rPr>
              <w:t>2</w:t>
            </w:r>
          </w:p>
        </w:tc>
      </w:tr>
      <w:tr w14:paraId="2335A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11958F6">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4B14C4F3">
            <w:pPr>
              <w:adjustRightInd w:val="0"/>
              <w:spacing w:line="360" w:lineRule="exact"/>
              <w:rPr>
                <w:rFonts w:asciiTheme="minorEastAsia" w:hAnsiTheme="minorEastAsia" w:cstheme="minorEastAsia"/>
              </w:rPr>
            </w:pPr>
            <w:r>
              <w:rPr>
                <w:rFonts w:hint="eastAsia"/>
                <w:color w:val="000000"/>
              </w:rPr>
              <w:t>大数据分析概论</w:t>
            </w:r>
          </w:p>
        </w:tc>
        <w:tc>
          <w:tcPr>
            <w:tcW w:w="2880" w:type="dxa"/>
            <w:vAlign w:val="center"/>
          </w:tcPr>
          <w:p w14:paraId="76085754">
            <w:pPr>
              <w:rPr>
                <w:color w:val="000000"/>
              </w:rPr>
            </w:pPr>
            <w:r>
              <w:rPr>
                <w:color w:val="000000"/>
              </w:rPr>
              <w:t>1.</w:t>
            </w:r>
            <w:r>
              <w:rPr>
                <w:rFonts w:hint="eastAsia"/>
                <w:color w:val="000000"/>
              </w:rPr>
              <w:t>了解大数据分析的基本方法、处理流程；</w:t>
            </w:r>
          </w:p>
          <w:p w14:paraId="68C74182">
            <w:pPr>
              <w:rPr>
                <w:color w:val="000000"/>
              </w:rPr>
            </w:pPr>
            <w:r>
              <w:rPr>
                <w:color w:val="000000"/>
              </w:rPr>
              <w:t>2.</w:t>
            </w:r>
            <w:r>
              <w:rPr>
                <w:rFonts w:hint="eastAsia"/>
                <w:color w:val="000000"/>
              </w:rPr>
              <w:t>了解大数据分析处理系统；</w:t>
            </w:r>
          </w:p>
          <w:p w14:paraId="65E75F2D">
            <w:pPr>
              <w:adjustRightInd w:val="0"/>
              <w:spacing w:line="360" w:lineRule="exact"/>
              <w:rPr>
                <w:rFonts w:asciiTheme="minorEastAsia" w:hAnsiTheme="minorEastAsia" w:cstheme="minorEastAsia"/>
              </w:rPr>
            </w:pPr>
            <w:r>
              <w:rPr>
                <w:color w:val="000000"/>
              </w:rPr>
              <w:t>3.</w:t>
            </w:r>
            <w:r>
              <w:rPr>
                <w:rFonts w:hint="eastAsia"/>
                <w:color w:val="000000"/>
              </w:rPr>
              <w:t>理解大数据分析的主要技术。</w:t>
            </w:r>
          </w:p>
        </w:tc>
        <w:tc>
          <w:tcPr>
            <w:tcW w:w="2682" w:type="dxa"/>
            <w:vAlign w:val="center"/>
          </w:tcPr>
          <w:p w14:paraId="491D4CA1">
            <w:pPr>
              <w:rPr>
                <w:color w:val="000000"/>
              </w:rPr>
            </w:pPr>
            <w:r>
              <w:rPr>
                <w:color w:val="000000"/>
              </w:rPr>
              <w:t>1.</w:t>
            </w:r>
            <w:r>
              <w:rPr>
                <w:rFonts w:hint="eastAsia"/>
                <w:color w:val="000000"/>
              </w:rPr>
              <w:t>通过多媒体展示，以图形结合，指导学生了解大数据的流程；</w:t>
            </w:r>
          </w:p>
          <w:p w14:paraId="17E0B440">
            <w:pPr>
              <w:rPr>
                <w:color w:val="000000"/>
              </w:rPr>
            </w:pPr>
            <w:r>
              <w:rPr>
                <w:color w:val="000000"/>
              </w:rPr>
              <w:t>2.</w:t>
            </w:r>
            <w:r>
              <w:rPr>
                <w:rFonts w:hint="eastAsia"/>
                <w:color w:val="000000"/>
              </w:rPr>
              <w:t>通过实物和图片引导学生理解大数据分析技术；</w:t>
            </w:r>
          </w:p>
          <w:p w14:paraId="5C716062">
            <w:pPr>
              <w:spacing w:line="360" w:lineRule="exact"/>
              <w:rPr>
                <w:rFonts w:asciiTheme="minorEastAsia" w:hAnsiTheme="minorEastAsia" w:cstheme="minorEastAsia"/>
              </w:rPr>
            </w:pPr>
            <w:r>
              <w:rPr>
                <w:rFonts w:hint="eastAsia"/>
                <w:color w:val="000000"/>
              </w:rPr>
              <w:t>3.形成高效解决问题的思维，多渠道，多方面的知识相融合。</w:t>
            </w:r>
          </w:p>
        </w:tc>
        <w:tc>
          <w:tcPr>
            <w:tcW w:w="724" w:type="dxa"/>
            <w:vAlign w:val="center"/>
          </w:tcPr>
          <w:p w14:paraId="054CB908">
            <w:pPr>
              <w:adjustRightInd w:val="0"/>
              <w:spacing w:line="360" w:lineRule="exact"/>
              <w:jc w:val="center"/>
              <w:rPr>
                <w:rFonts w:asciiTheme="minorEastAsia" w:hAnsiTheme="minorEastAsia" w:cstheme="minorEastAsia"/>
              </w:rPr>
            </w:pPr>
            <w:r>
              <w:rPr>
                <w:rFonts w:asciiTheme="minorEastAsia" w:hAnsiTheme="minorEastAsia" w:cstheme="minorEastAsia"/>
              </w:rPr>
              <w:t>4</w:t>
            </w:r>
          </w:p>
        </w:tc>
      </w:tr>
      <w:tr w14:paraId="70A2B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9565DAE">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48554BAD">
            <w:pPr>
              <w:adjustRightInd w:val="0"/>
              <w:spacing w:line="360" w:lineRule="exact"/>
              <w:rPr>
                <w:rFonts w:asciiTheme="minorEastAsia" w:hAnsiTheme="minorEastAsia" w:cstheme="minorEastAsia"/>
              </w:rPr>
            </w:pPr>
            <w:r>
              <w:rPr>
                <w:rFonts w:hint="eastAsia"/>
                <w:color w:val="000000"/>
              </w:rPr>
              <w:t>大数据可视化</w:t>
            </w:r>
          </w:p>
        </w:tc>
        <w:tc>
          <w:tcPr>
            <w:tcW w:w="2880" w:type="dxa"/>
            <w:vAlign w:val="center"/>
          </w:tcPr>
          <w:p w14:paraId="03BBE414">
            <w:pPr>
              <w:rPr>
                <w:color w:val="000000"/>
              </w:rPr>
            </w:pPr>
            <w:r>
              <w:rPr>
                <w:color w:val="000000"/>
              </w:rPr>
              <w:t>1.</w:t>
            </w:r>
            <w:r>
              <w:rPr>
                <w:rFonts w:hint="eastAsia"/>
                <w:color w:val="000000"/>
              </w:rPr>
              <w:t>掌握大数据可视化的概念；</w:t>
            </w:r>
          </w:p>
          <w:p w14:paraId="2E565969">
            <w:pPr>
              <w:rPr>
                <w:color w:val="000000"/>
              </w:rPr>
            </w:pPr>
            <w:r>
              <w:rPr>
                <w:color w:val="000000"/>
              </w:rPr>
              <w:t>2.</w:t>
            </w:r>
            <w:r>
              <w:rPr>
                <w:rFonts w:hint="eastAsia"/>
                <w:color w:val="000000"/>
              </w:rPr>
              <w:t>了解大数据可视化工具的概念及特点；</w:t>
            </w:r>
          </w:p>
          <w:p w14:paraId="5F34AC9E">
            <w:pPr>
              <w:adjustRightInd w:val="0"/>
              <w:spacing w:line="360" w:lineRule="exact"/>
              <w:rPr>
                <w:rFonts w:asciiTheme="minorEastAsia" w:hAnsiTheme="minorEastAsia" w:cstheme="minorEastAsia"/>
              </w:rPr>
            </w:pPr>
            <w:r>
              <w:rPr>
                <w:color w:val="000000"/>
              </w:rPr>
              <w:t>3.</w:t>
            </w:r>
            <w:r>
              <w:rPr>
                <w:rFonts w:hint="eastAsia"/>
                <w:color w:val="000000"/>
              </w:rPr>
              <w:t>理解大数据可视化工具的应用。</w:t>
            </w:r>
          </w:p>
        </w:tc>
        <w:tc>
          <w:tcPr>
            <w:tcW w:w="2682" w:type="dxa"/>
            <w:vAlign w:val="center"/>
          </w:tcPr>
          <w:p w14:paraId="74900926">
            <w:pPr>
              <w:widowControl/>
              <w:rPr>
                <w:color w:val="000000"/>
              </w:rPr>
            </w:pPr>
            <w:r>
              <w:rPr>
                <w:color w:val="000000"/>
              </w:rPr>
              <w:t>1.</w:t>
            </w:r>
            <w:r>
              <w:rPr>
                <w:rFonts w:hint="eastAsia"/>
                <w:color w:val="000000"/>
              </w:rPr>
              <w:t>通过多媒体课件，引导学生了解可视化工具；</w:t>
            </w:r>
          </w:p>
          <w:p w14:paraId="01B500C4">
            <w:pPr>
              <w:rPr>
                <w:color w:val="000000"/>
              </w:rPr>
            </w:pPr>
            <w:r>
              <w:rPr>
                <w:color w:val="000000"/>
              </w:rPr>
              <w:t>2.</w:t>
            </w:r>
            <w:r>
              <w:rPr>
                <w:rFonts w:hint="eastAsia"/>
                <w:color w:val="000000"/>
              </w:rPr>
              <w:t>通过案例分析引导学生学习可视化工具的应用；</w:t>
            </w:r>
          </w:p>
          <w:p w14:paraId="16E50218">
            <w:pPr>
              <w:spacing w:line="360" w:lineRule="exact"/>
              <w:rPr>
                <w:rFonts w:asciiTheme="minorEastAsia" w:hAnsiTheme="minorEastAsia" w:cstheme="minorEastAsia"/>
              </w:rPr>
            </w:pPr>
            <w:r>
              <w:rPr>
                <w:rFonts w:hint="eastAsia"/>
                <w:color w:val="000000"/>
              </w:rPr>
              <w:t>3.</w:t>
            </w:r>
            <w:r>
              <w:rPr>
                <w:rFonts w:hint="eastAsia" w:cs="等线 Light"/>
              </w:rPr>
              <w:t>指导学生从固有联系中把握事物，切忌主观随意性。</w:t>
            </w:r>
          </w:p>
        </w:tc>
        <w:tc>
          <w:tcPr>
            <w:tcW w:w="724" w:type="dxa"/>
            <w:vAlign w:val="center"/>
          </w:tcPr>
          <w:p w14:paraId="225C4AF2">
            <w:pPr>
              <w:adjustRightInd w:val="0"/>
              <w:spacing w:line="360" w:lineRule="exact"/>
              <w:jc w:val="center"/>
              <w:rPr>
                <w:rFonts w:asciiTheme="minorEastAsia" w:hAnsiTheme="minorEastAsia" w:cstheme="minorEastAsia"/>
              </w:rPr>
            </w:pPr>
            <w:r>
              <w:rPr>
                <w:rFonts w:hint="eastAsia"/>
                <w:color w:val="000000"/>
              </w:rPr>
              <w:t>4</w:t>
            </w:r>
          </w:p>
        </w:tc>
      </w:tr>
      <w:tr w14:paraId="08984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1460577">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15CB6C94">
            <w:pPr>
              <w:adjustRightInd w:val="0"/>
              <w:spacing w:line="360" w:lineRule="exact"/>
              <w:rPr>
                <w:rFonts w:asciiTheme="minorEastAsia" w:hAnsiTheme="minorEastAsia" w:cstheme="minorEastAsia"/>
              </w:rPr>
            </w:pPr>
            <w:r>
              <w:rPr>
                <w:rFonts w:hint="eastAsia"/>
                <w:color w:val="000000"/>
              </w:rPr>
              <w:t>Hadoop和</w:t>
            </w:r>
            <w:r>
              <w:rPr>
                <w:color w:val="000000"/>
              </w:rPr>
              <w:t>MapRe</w:t>
            </w:r>
            <w:r>
              <w:rPr>
                <w:rFonts w:hint="eastAsia"/>
                <w:color w:val="000000"/>
              </w:rPr>
              <w:t>d</w:t>
            </w:r>
            <w:r>
              <w:rPr>
                <w:color w:val="000000"/>
              </w:rPr>
              <w:t>uce</w:t>
            </w:r>
            <w:r>
              <w:rPr>
                <w:rFonts w:hint="eastAsia"/>
                <w:color w:val="000000"/>
              </w:rPr>
              <w:t>概论</w:t>
            </w:r>
          </w:p>
        </w:tc>
        <w:tc>
          <w:tcPr>
            <w:tcW w:w="2880" w:type="dxa"/>
            <w:vAlign w:val="center"/>
          </w:tcPr>
          <w:p w14:paraId="4F9D85B4">
            <w:pPr>
              <w:spacing w:line="360" w:lineRule="exact"/>
              <w:rPr>
                <w:color w:val="000000"/>
              </w:rPr>
            </w:pPr>
            <w:r>
              <w:rPr>
                <w:color w:val="000000"/>
              </w:rPr>
              <w:t>1.</w:t>
            </w:r>
            <w:r>
              <w:rPr>
                <w:rFonts w:hint="eastAsia"/>
                <w:color w:val="000000"/>
              </w:rPr>
              <w:t>了解H</w:t>
            </w:r>
            <w:r>
              <w:rPr>
                <w:color w:val="000000"/>
              </w:rPr>
              <w:t>adoop</w:t>
            </w:r>
            <w:r>
              <w:rPr>
                <w:rFonts w:hint="eastAsia"/>
                <w:color w:val="000000"/>
              </w:rPr>
              <w:t>的特点；</w:t>
            </w:r>
          </w:p>
          <w:p w14:paraId="51BFDA62">
            <w:pPr>
              <w:widowControl/>
              <w:rPr>
                <w:color w:val="000000"/>
              </w:rPr>
            </w:pPr>
            <w:r>
              <w:rPr>
                <w:color w:val="000000"/>
              </w:rPr>
              <w:t>2.</w:t>
            </w:r>
            <w:r>
              <w:rPr>
                <w:rFonts w:hint="eastAsia"/>
                <w:color w:val="000000"/>
              </w:rPr>
              <w:t>掌握H</w:t>
            </w:r>
            <w:r>
              <w:rPr>
                <w:color w:val="000000"/>
              </w:rPr>
              <w:t>adoop</w:t>
            </w:r>
            <w:r>
              <w:rPr>
                <w:rFonts w:hint="eastAsia"/>
                <w:color w:val="000000"/>
              </w:rPr>
              <w:t>架构与组成；</w:t>
            </w:r>
          </w:p>
          <w:p w14:paraId="439BDB47">
            <w:pPr>
              <w:widowControl/>
              <w:rPr>
                <w:color w:val="000000"/>
              </w:rPr>
            </w:pPr>
            <w:r>
              <w:rPr>
                <w:rFonts w:hint="eastAsia"/>
                <w:color w:val="000000"/>
              </w:rPr>
              <w:t>3.了解Hadoop的平台搭建及应用；</w:t>
            </w:r>
          </w:p>
          <w:p w14:paraId="34C6598A">
            <w:pPr>
              <w:widowControl/>
              <w:rPr>
                <w:color w:val="000000"/>
              </w:rPr>
            </w:pPr>
            <w:r>
              <w:rPr>
                <w:rFonts w:hint="eastAsia"/>
                <w:color w:val="000000"/>
              </w:rPr>
              <w:t>4</w:t>
            </w:r>
            <w:r>
              <w:rPr>
                <w:color w:val="000000"/>
              </w:rPr>
              <w:t>.</w:t>
            </w:r>
            <w:r>
              <w:rPr>
                <w:rFonts w:hint="eastAsia"/>
                <w:color w:val="000000"/>
              </w:rPr>
              <w:t>掌握Map</w:t>
            </w:r>
            <w:r>
              <w:rPr>
                <w:color w:val="000000"/>
              </w:rPr>
              <w:t>Reduce</w:t>
            </w:r>
            <w:r>
              <w:rPr>
                <w:rFonts w:hint="eastAsia"/>
                <w:color w:val="000000"/>
              </w:rPr>
              <w:t>的概念、内涵和局限性；</w:t>
            </w:r>
          </w:p>
          <w:p w14:paraId="20D1BC82">
            <w:pPr>
              <w:adjustRightInd w:val="0"/>
              <w:spacing w:line="360" w:lineRule="exact"/>
              <w:rPr>
                <w:rFonts w:asciiTheme="minorEastAsia" w:hAnsiTheme="minorEastAsia" w:cstheme="minorEastAsia"/>
              </w:rPr>
            </w:pPr>
            <w:r>
              <w:rPr>
                <w:rFonts w:hint="eastAsia"/>
                <w:color w:val="000000"/>
              </w:rPr>
              <w:t>5.掌握Map</w:t>
            </w:r>
            <w:r>
              <w:rPr>
                <w:color w:val="000000"/>
              </w:rPr>
              <w:t>Reduce</w:t>
            </w:r>
            <w:r>
              <w:rPr>
                <w:rFonts w:hint="eastAsia"/>
                <w:color w:val="000000"/>
              </w:rPr>
              <w:t>的架构和工作流程。</w:t>
            </w:r>
          </w:p>
        </w:tc>
        <w:tc>
          <w:tcPr>
            <w:tcW w:w="2682" w:type="dxa"/>
            <w:vAlign w:val="center"/>
          </w:tcPr>
          <w:p w14:paraId="41CABFD8">
            <w:pPr>
              <w:widowControl/>
              <w:rPr>
                <w:color w:val="000000"/>
              </w:rPr>
            </w:pPr>
            <w:r>
              <w:rPr>
                <w:color w:val="000000"/>
              </w:rPr>
              <w:t>1.</w:t>
            </w:r>
            <w:r>
              <w:rPr>
                <w:rFonts w:hint="eastAsia"/>
                <w:color w:val="000000"/>
              </w:rPr>
              <w:t>通过视频引入和</w:t>
            </w:r>
            <w:r>
              <w:rPr>
                <w:color w:val="000000"/>
              </w:rPr>
              <w:t>3D</w:t>
            </w:r>
            <w:r>
              <w:rPr>
                <w:rFonts w:hint="eastAsia"/>
                <w:color w:val="000000"/>
              </w:rPr>
              <w:t>结构展示，帮助学生了解</w:t>
            </w:r>
            <w:r>
              <w:rPr>
                <w:color w:val="000000"/>
              </w:rPr>
              <w:t>Hadoop</w:t>
            </w:r>
            <w:r>
              <w:rPr>
                <w:rFonts w:hint="eastAsia"/>
                <w:color w:val="000000"/>
              </w:rPr>
              <w:t>的架构与构成；</w:t>
            </w:r>
          </w:p>
          <w:p w14:paraId="3D3D2F53">
            <w:pPr>
              <w:widowControl/>
              <w:rPr>
                <w:color w:val="000000"/>
              </w:rPr>
            </w:pPr>
            <w:r>
              <w:rPr>
                <w:color w:val="000000"/>
              </w:rPr>
              <w:t>2.</w:t>
            </w:r>
            <w:r>
              <w:rPr>
                <w:rFonts w:hint="eastAsia"/>
                <w:color w:val="000000"/>
              </w:rPr>
              <w:t>引导学生判断中外合资经营企业、中外合作经营企业和外资企业的区别；</w:t>
            </w:r>
          </w:p>
          <w:p w14:paraId="646C06CE">
            <w:pPr>
              <w:adjustRightInd w:val="0"/>
              <w:spacing w:line="360" w:lineRule="exact"/>
              <w:rPr>
                <w:rFonts w:asciiTheme="minorEastAsia" w:hAnsiTheme="minorEastAsia" w:cstheme="minorEastAsia"/>
              </w:rPr>
            </w:pPr>
            <w:r>
              <w:rPr>
                <w:rFonts w:hint="eastAsia"/>
                <w:color w:val="000000"/>
              </w:rPr>
              <w:t>3.</w:t>
            </w:r>
            <w:r>
              <w:rPr>
                <w:rFonts w:cs="Times New Roman"/>
              </w:rPr>
              <w:t>展现内容的时代性和开放性，</w:t>
            </w:r>
            <w:r>
              <w:rPr>
                <w:rFonts w:hint="eastAsia" w:cs="Times New Roman"/>
              </w:rPr>
              <w:t>培养</w:t>
            </w:r>
            <w:r>
              <w:rPr>
                <w:rFonts w:cs="Times New Roman"/>
              </w:rPr>
              <w:t>学生</w:t>
            </w:r>
            <w:r>
              <w:rPr>
                <w:rFonts w:hint="eastAsia" w:cs="Times New Roman"/>
              </w:rPr>
              <w:t>与时俱进</w:t>
            </w:r>
            <w:r>
              <w:rPr>
                <w:rFonts w:cs="Times New Roman"/>
              </w:rPr>
              <w:t>的创新精神</w:t>
            </w:r>
            <w:r>
              <w:rPr>
                <w:rFonts w:hint="eastAsia" w:cs="Times New Roman"/>
              </w:rPr>
              <w:t>。</w:t>
            </w:r>
          </w:p>
        </w:tc>
        <w:tc>
          <w:tcPr>
            <w:tcW w:w="724" w:type="dxa"/>
            <w:vAlign w:val="center"/>
          </w:tcPr>
          <w:p w14:paraId="65F0E851">
            <w:pPr>
              <w:adjustRightInd w:val="0"/>
              <w:spacing w:line="360" w:lineRule="exact"/>
              <w:jc w:val="center"/>
              <w:rPr>
                <w:rFonts w:asciiTheme="minorEastAsia" w:hAnsiTheme="minorEastAsia" w:cstheme="minorEastAsia"/>
              </w:rPr>
            </w:pPr>
            <w:r>
              <w:rPr>
                <w:rFonts w:hint="eastAsia"/>
                <w:color w:val="000000"/>
              </w:rPr>
              <w:t>8</w:t>
            </w:r>
          </w:p>
        </w:tc>
      </w:tr>
      <w:tr w14:paraId="763D2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AD888F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5B12C9C5">
            <w:pPr>
              <w:adjustRightInd w:val="0"/>
              <w:spacing w:line="360" w:lineRule="exact"/>
              <w:rPr>
                <w:rFonts w:cstheme="minorEastAsia"/>
              </w:rPr>
            </w:pPr>
            <w:r>
              <w:rPr>
                <w:rFonts w:hint="eastAsia"/>
                <w:color w:val="000000"/>
              </w:rPr>
              <w:t>Sp</w:t>
            </w:r>
            <w:r>
              <w:rPr>
                <w:color w:val="000000"/>
              </w:rPr>
              <w:t>ark</w:t>
            </w:r>
            <w:r>
              <w:rPr>
                <w:rFonts w:hint="eastAsia"/>
                <w:color w:val="000000"/>
              </w:rPr>
              <w:t>概论</w:t>
            </w:r>
          </w:p>
        </w:tc>
        <w:tc>
          <w:tcPr>
            <w:tcW w:w="2880" w:type="dxa"/>
            <w:vAlign w:val="center"/>
          </w:tcPr>
          <w:p w14:paraId="5B0EF50E">
            <w:pPr>
              <w:spacing w:line="360" w:lineRule="exact"/>
              <w:rPr>
                <w:color w:val="000000"/>
              </w:rPr>
            </w:pPr>
            <w:r>
              <w:rPr>
                <w:color w:val="000000"/>
              </w:rPr>
              <w:t>1.</w:t>
            </w:r>
            <w:r>
              <w:rPr>
                <w:rFonts w:hint="eastAsia"/>
                <w:color w:val="000000"/>
              </w:rPr>
              <w:t>了解Spark的概念；</w:t>
            </w:r>
          </w:p>
          <w:p w14:paraId="33F15E36">
            <w:pPr>
              <w:spacing w:line="360" w:lineRule="exact"/>
              <w:rPr>
                <w:color w:val="000000"/>
              </w:rPr>
            </w:pPr>
            <w:r>
              <w:rPr>
                <w:color w:val="000000"/>
              </w:rPr>
              <w:t>2.</w:t>
            </w:r>
            <w:r>
              <w:rPr>
                <w:rFonts w:hint="eastAsia"/>
                <w:color w:val="000000"/>
              </w:rPr>
              <w:t>了解Sc</w:t>
            </w:r>
            <w:r>
              <w:rPr>
                <w:color w:val="000000"/>
              </w:rPr>
              <w:t>ala</w:t>
            </w:r>
            <w:r>
              <w:rPr>
                <w:rFonts w:hint="eastAsia"/>
                <w:color w:val="000000"/>
              </w:rPr>
              <w:t>语言；</w:t>
            </w:r>
          </w:p>
          <w:p w14:paraId="24134437">
            <w:pPr>
              <w:rPr>
                <w:color w:val="000000"/>
              </w:rPr>
            </w:pPr>
            <w:r>
              <w:rPr>
                <w:color w:val="000000"/>
              </w:rPr>
              <w:t>3.</w:t>
            </w:r>
            <w:r>
              <w:rPr>
                <w:rFonts w:hint="eastAsia"/>
                <w:color w:val="000000"/>
              </w:rPr>
              <w:t>掌握Spark与Hadoop的优势与缺陷；</w:t>
            </w:r>
          </w:p>
          <w:p w14:paraId="0B97C176">
            <w:pPr>
              <w:rPr>
                <w:color w:val="000000"/>
              </w:rPr>
            </w:pPr>
            <w:r>
              <w:rPr>
                <w:rFonts w:hint="eastAsia"/>
                <w:color w:val="000000"/>
              </w:rPr>
              <w:t>4.了解</w:t>
            </w:r>
            <w:r>
              <w:rPr>
                <w:color w:val="000000"/>
              </w:rPr>
              <w:t>Spark</w:t>
            </w:r>
            <w:r>
              <w:rPr>
                <w:rFonts w:hint="eastAsia"/>
                <w:color w:val="000000"/>
              </w:rPr>
              <w:t>的生态系统；</w:t>
            </w:r>
          </w:p>
          <w:p w14:paraId="203E9BF1">
            <w:pPr>
              <w:adjustRightInd w:val="0"/>
              <w:spacing w:line="360" w:lineRule="exact"/>
              <w:rPr>
                <w:rFonts w:asciiTheme="minorEastAsia" w:hAnsiTheme="minorEastAsia" w:cstheme="minorEastAsia"/>
              </w:rPr>
            </w:pPr>
            <w:r>
              <w:rPr>
                <w:rFonts w:hint="eastAsia"/>
                <w:color w:val="000000"/>
              </w:rPr>
              <w:t>5.掌握Spark的应用场景。</w:t>
            </w:r>
          </w:p>
        </w:tc>
        <w:tc>
          <w:tcPr>
            <w:tcW w:w="2682" w:type="dxa"/>
            <w:vAlign w:val="center"/>
          </w:tcPr>
          <w:p w14:paraId="3E0D7F33">
            <w:pPr>
              <w:rPr>
                <w:color w:val="000000"/>
              </w:rPr>
            </w:pPr>
            <w:r>
              <w:rPr>
                <w:color w:val="000000"/>
              </w:rPr>
              <w:t>1.</w:t>
            </w:r>
            <w:r>
              <w:rPr>
                <w:rFonts w:hint="eastAsia"/>
                <w:color w:val="000000"/>
              </w:rPr>
              <w:t>通过虚拟技术、课堂小组活动，指导学生了解Spark；</w:t>
            </w:r>
          </w:p>
          <w:p w14:paraId="2B6066CD">
            <w:pPr>
              <w:rPr>
                <w:color w:val="000000"/>
              </w:rPr>
            </w:pPr>
            <w:r>
              <w:rPr>
                <w:color w:val="000000"/>
              </w:rPr>
              <w:t>2.</w:t>
            </w:r>
            <w:r>
              <w:rPr>
                <w:rFonts w:hint="eastAsia"/>
                <w:color w:val="000000"/>
              </w:rPr>
              <w:t>引导学生了解Spark的成功案例；</w:t>
            </w:r>
          </w:p>
          <w:p w14:paraId="3DC9D97C">
            <w:pPr>
              <w:adjustRightInd w:val="0"/>
              <w:spacing w:line="360" w:lineRule="exact"/>
              <w:rPr>
                <w:rFonts w:asciiTheme="minorEastAsia" w:hAnsiTheme="minorEastAsia" w:cstheme="minorEastAsia"/>
              </w:rPr>
            </w:pPr>
            <w:r>
              <w:rPr>
                <w:rFonts w:hint="eastAsia"/>
                <w:color w:val="000000"/>
              </w:rPr>
              <w:t>3.</w:t>
            </w:r>
            <w:r>
              <w:rPr>
                <w:rFonts w:hint="eastAsia" w:cs="等线 Light"/>
              </w:rPr>
              <w:t>分析业务的特殊性，培养“具体问题具体分析”的哲学思维。</w:t>
            </w:r>
          </w:p>
        </w:tc>
        <w:tc>
          <w:tcPr>
            <w:tcW w:w="724" w:type="dxa"/>
            <w:vAlign w:val="center"/>
          </w:tcPr>
          <w:p w14:paraId="158ADF12">
            <w:pPr>
              <w:adjustRightInd w:val="0"/>
              <w:spacing w:line="360" w:lineRule="exact"/>
              <w:jc w:val="center"/>
              <w:rPr>
                <w:rFonts w:asciiTheme="minorEastAsia" w:hAnsiTheme="minorEastAsia" w:cstheme="minorEastAsia"/>
              </w:rPr>
            </w:pPr>
            <w:r>
              <w:rPr>
                <w:rFonts w:hint="eastAsia"/>
                <w:color w:val="000000"/>
              </w:rPr>
              <w:t>4</w:t>
            </w:r>
          </w:p>
        </w:tc>
      </w:tr>
      <w:tr w14:paraId="0DF81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156FC9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c>
          <w:tcPr>
            <w:tcW w:w="1089" w:type="dxa"/>
            <w:vAlign w:val="center"/>
          </w:tcPr>
          <w:p w14:paraId="4E8F4F57">
            <w:pPr>
              <w:adjustRightInd w:val="0"/>
              <w:spacing w:line="360" w:lineRule="exact"/>
              <w:rPr>
                <w:color w:val="000000"/>
              </w:rPr>
            </w:pPr>
            <w:r>
              <w:rPr>
                <w:rFonts w:hint="eastAsia"/>
                <w:color w:val="000000"/>
              </w:rPr>
              <w:t>云计算与大数据</w:t>
            </w:r>
          </w:p>
        </w:tc>
        <w:tc>
          <w:tcPr>
            <w:tcW w:w="2880" w:type="dxa"/>
            <w:vAlign w:val="center"/>
          </w:tcPr>
          <w:p w14:paraId="5D180FAF">
            <w:pPr>
              <w:rPr>
                <w:color w:val="000000"/>
              </w:rPr>
            </w:pPr>
            <w:r>
              <w:rPr>
                <w:color w:val="000000"/>
              </w:rPr>
              <w:t>1.</w:t>
            </w:r>
            <w:r>
              <w:rPr>
                <w:rFonts w:hint="eastAsia"/>
                <w:color w:val="000000"/>
              </w:rPr>
              <w:t>了解云计算的定义、云计算与大数据的关系；</w:t>
            </w:r>
          </w:p>
          <w:p w14:paraId="08EDF4BB">
            <w:pPr>
              <w:rPr>
                <w:color w:val="000000"/>
              </w:rPr>
            </w:pPr>
            <w:r>
              <w:rPr>
                <w:rFonts w:hint="eastAsia"/>
                <w:color w:val="000000"/>
              </w:rPr>
              <w:t>2.掌握虚拟化技术、资源池化技术；</w:t>
            </w:r>
          </w:p>
          <w:p w14:paraId="19D587F5">
            <w:pPr>
              <w:spacing w:line="360" w:lineRule="exact"/>
              <w:rPr>
                <w:color w:val="000000"/>
              </w:rPr>
            </w:pPr>
            <w:r>
              <w:rPr>
                <w:rFonts w:hint="eastAsia"/>
                <w:color w:val="000000"/>
              </w:rPr>
              <w:t>3.了解云计算在医学领域的应用。</w:t>
            </w:r>
          </w:p>
        </w:tc>
        <w:tc>
          <w:tcPr>
            <w:tcW w:w="2682" w:type="dxa"/>
            <w:vAlign w:val="center"/>
          </w:tcPr>
          <w:p w14:paraId="5D430F47">
            <w:pPr>
              <w:rPr>
                <w:color w:val="000000"/>
              </w:rPr>
            </w:pPr>
            <w:r>
              <w:rPr>
                <w:color w:val="000000"/>
              </w:rPr>
              <w:t>1.</w:t>
            </w:r>
            <w:r>
              <w:rPr>
                <w:rFonts w:hint="eastAsia"/>
                <w:color w:val="000000"/>
              </w:rPr>
              <w:t>通过多媒体课件，指导学生了解云计算核心技术；</w:t>
            </w:r>
          </w:p>
          <w:p w14:paraId="45018470">
            <w:pPr>
              <w:rPr>
                <w:color w:val="000000"/>
              </w:rPr>
            </w:pPr>
            <w:r>
              <w:rPr>
                <w:color w:val="000000"/>
              </w:rPr>
              <w:t>2.</w:t>
            </w:r>
            <w:r>
              <w:rPr>
                <w:rFonts w:hint="eastAsia"/>
                <w:color w:val="000000"/>
              </w:rPr>
              <w:t>引导学生了解云计算在各个领域的应用；</w:t>
            </w:r>
          </w:p>
          <w:p w14:paraId="70A83AC0">
            <w:pPr>
              <w:rPr>
                <w:color w:val="000000"/>
              </w:rPr>
            </w:pPr>
            <w:r>
              <w:rPr>
                <w:rFonts w:hint="eastAsia"/>
                <w:color w:val="000000"/>
              </w:rPr>
              <w:t>3.</w:t>
            </w:r>
            <w:r>
              <w:rPr>
                <w:rFonts w:hint="eastAsia" w:cs="等线 Light"/>
              </w:rPr>
              <w:t>培养学生严谨细致的工作作风和精益求精的工作态度。</w:t>
            </w:r>
          </w:p>
        </w:tc>
        <w:tc>
          <w:tcPr>
            <w:tcW w:w="724" w:type="dxa"/>
            <w:vAlign w:val="center"/>
          </w:tcPr>
          <w:p w14:paraId="6C78BEF5">
            <w:pPr>
              <w:adjustRightInd w:val="0"/>
              <w:spacing w:line="360" w:lineRule="exact"/>
              <w:jc w:val="center"/>
              <w:rPr>
                <w:color w:val="000000"/>
              </w:rPr>
            </w:pPr>
            <w:r>
              <w:rPr>
                <w:rFonts w:hint="eastAsia"/>
                <w:color w:val="000000"/>
              </w:rPr>
              <w:t>6</w:t>
            </w:r>
          </w:p>
        </w:tc>
      </w:tr>
      <w:tr w14:paraId="2D003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9BE167D">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7</w:t>
            </w:r>
          </w:p>
        </w:tc>
        <w:tc>
          <w:tcPr>
            <w:tcW w:w="1089" w:type="dxa"/>
            <w:vAlign w:val="center"/>
          </w:tcPr>
          <w:p w14:paraId="00875ABB">
            <w:pPr>
              <w:adjustRightInd w:val="0"/>
              <w:spacing w:line="360" w:lineRule="exact"/>
              <w:rPr>
                <w:color w:val="000000"/>
              </w:rPr>
            </w:pPr>
            <w:r>
              <w:rPr>
                <w:rFonts w:hint="eastAsia"/>
                <w:color w:val="000000"/>
              </w:rPr>
              <w:t>大数据解决方案及相关案例</w:t>
            </w:r>
          </w:p>
        </w:tc>
        <w:tc>
          <w:tcPr>
            <w:tcW w:w="2880" w:type="dxa"/>
            <w:vAlign w:val="center"/>
          </w:tcPr>
          <w:p w14:paraId="445EBA4B">
            <w:pPr>
              <w:widowControl/>
              <w:rPr>
                <w:color w:val="000000"/>
              </w:rPr>
            </w:pPr>
            <w:r>
              <w:rPr>
                <w:color w:val="000000"/>
              </w:rPr>
              <w:t>1.</w:t>
            </w:r>
            <w:r>
              <w:rPr>
                <w:rFonts w:hint="eastAsia"/>
                <w:color w:val="000000"/>
              </w:rPr>
              <w:t>了解大数据解决方案及相关案例；</w:t>
            </w:r>
          </w:p>
          <w:p w14:paraId="77073953">
            <w:pPr>
              <w:spacing w:line="360" w:lineRule="exact"/>
              <w:rPr>
                <w:color w:val="000000"/>
              </w:rPr>
            </w:pPr>
            <w:r>
              <w:rPr>
                <w:color w:val="000000"/>
              </w:rPr>
              <w:t>2.</w:t>
            </w:r>
            <w:r>
              <w:rPr>
                <w:rFonts w:hint="eastAsia"/>
                <w:color w:val="000000"/>
              </w:rPr>
              <w:t>了解In</w:t>
            </w:r>
            <w:r>
              <w:rPr>
                <w:color w:val="000000"/>
              </w:rPr>
              <w:t>tel</w:t>
            </w:r>
            <w:r>
              <w:rPr>
                <w:rFonts w:hint="eastAsia"/>
                <w:color w:val="000000"/>
              </w:rPr>
              <w:t>大数据解决方案及相关案例。</w:t>
            </w:r>
          </w:p>
        </w:tc>
        <w:tc>
          <w:tcPr>
            <w:tcW w:w="2682" w:type="dxa"/>
            <w:vAlign w:val="center"/>
          </w:tcPr>
          <w:p w14:paraId="6EF23539">
            <w:pPr>
              <w:rPr>
                <w:color w:val="000000"/>
              </w:rPr>
            </w:pPr>
            <w:r>
              <w:rPr>
                <w:color w:val="000000"/>
              </w:rPr>
              <w:t>1.</w:t>
            </w:r>
            <w:r>
              <w:rPr>
                <w:rFonts w:hint="eastAsia"/>
                <w:color w:val="000000"/>
              </w:rPr>
              <w:t>通过多媒体课件，指导学生应用大数据技术分析相关案例；</w:t>
            </w:r>
          </w:p>
          <w:p w14:paraId="0C95572F">
            <w:pPr>
              <w:rPr>
                <w:color w:val="000000"/>
              </w:rPr>
            </w:pPr>
            <w:r>
              <w:rPr>
                <w:color w:val="000000"/>
              </w:rPr>
              <w:t>2.</w:t>
            </w:r>
            <w:r>
              <w:rPr>
                <w:rFonts w:hint="eastAsia"/>
                <w:color w:val="000000"/>
              </w:rPr>
              <w:t>引导学生分析大数据解决方案；</w:t>
            </w:r>
          </w:p>
          <w:p w14:paraId="2309A579">
            <w:pPr>
              <w:rPr>
                <w:color w:val="000000"/>
              </w:rPr>
            </w:pPr>
            <w:r>
              <w:rPr>
                <w:rFonts w:hint="eastAsia"/>
                <w:color w:val="000000"/>
              </w:rPr>
              <w:t>3.</w:t>
            </w:r>
            <w:r>
              <w:rPr>
                <w:rFonts w:hint="eastAsia" w:cs="等线 Light"/>
              </w:rPr>
              <w:t>掌握财务共享信息并加以运用，树立“博观而约取，厚积而薄发”的思维意识。</w:t>
            </w:r>
          </w:p>
        </w:tc>
        <w:tc>
          <w:tcPr>
            <w:tcW w:w="724" w:type="dxa"/>
            <w:vAlign w:val="center"/>
          </w:tcPr>
          <w:p w14:paraId="1E893752">
            <w:pPr>
              <w:adjustRightInd w:val="0"/>
              <w:spacing w:line="360" w:lineRule="exact"/>
              <w:jc w:val="center"/>
              <w:rPr>
                <w:color w:val="000000"/>
              </w:rPr>
            </w:pPr>
            <w:r>
              <w:rPr>
                <w:rFonts w:hint="eastAsia"/>
                <w:color w:val="000000"/>
              </w:rPr>
              <w:t>8</w:t>
            </w:r>
          </w:p>
        </w:tc>
      </w:tr>
    </w:tbl>
    <w:p w14:paraId="3B8B4460">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2482370B">
      <w:pPr>
        <w:pStyle w:val="17"/>
        <w:spacing w:after="0" w:line="400" w:lineRule="exact"/>
        <w:ind w:firstLine="480" w:firstLineChars="200"/>
        <w:rPr>
          <w:sz w:val="24"/>
          <w:szCs w:val="24"/>
        </w:rPr>
      </w:pPr>
      <w:r>
        <w:rPr>
          <w:rFonts w:hint="eastAsia"/>
          <w:sz w:val="24"/>
          <w:szCs w:val="24"/>
        </w:rPr>
        <w:t>1.教学方法</w:t>
      </w:r>
    </w:p>
    <w:p w14:paraId="57D061B3">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5C073075">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1600233A">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17C535AF">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3A5939B3">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1AE712FB">
      <w:pPr>
        <w:pStyle w:val="17"/>
        <w:spacing w:after="0" w:line="400" w:lineRule="exact"/>
        <w:ind w:firstLine="480" w:firstLineChars="200"/>
        <w:rPr>
          <w:sz w:val="24"/>
          <w:szCs w:val="24"/>
        </w:rPr>
      </w:pPr>
      <w:r>
        <w:rPr>
          <w:rFonts w:hint="eastAsia"/>
          <w:sz w:val="24"/>
          <w:szCs w:val="24"/>
        </w:rPr>
        <w:t>2.评价方法</w:t>
      </w:r>
    </w:p>
    <w:p w14:paraId="5B567A81">
      <w:pPr>
        <w:spacing w:line="400" w:lineRule="exact"/>
        <w:ind w:firstLine="480" w:firstLineChars="200"/>
        <w:rPr>
          <w:rFonts w:ascii="仿宋_GB2312" w:hAnsi="Times New Roman" w:eastAsia="仿宋_GB2312" w:cs="Times New Roman"/>
          <w:color w:val="000000"/>
          <w:sz w:val="24"/>
          <w:szCs w:val="24"/>
        </w:rPr>
      </w:pPr>
      <w:r>
        <w:rPr>
          <w:rFonts w:hint="eastAsia" w:ascii="仿宋_GB2312" w:hAnsi="Times New Roman" w:eastAsia="仿宋_GB2312" w:cs="仿宋_GB2312"/>
          <w:color w:val="000000"/>
          <w:sz w:val="24"/>
          <w:szCs w:val="24"/>
        </w:rPr>
        <w:t>本学习领域最终成绩由理论成绩和实践成绩两部分组成，重在考查学生在平时课堂学习过程中表现出来的主观能动性和对知识的理解能力，以及运用知识解决实际问题和实际操作的能力。其中，理论知识和个人训练项目由教师通过对学生学习过程和结果的综合考核，得出学习成绩分值，该部分成绩占7</w:t>
      </w:r>
      <w:r>
        <w:rPr>
          <w:rFonts w:ascii="仿宋_GB2312" w:hAnsi="Times New Roman" w:eastAsia="仿宋_GB2312" w:cs="仿宋_GB2312"/>
          <w:color w:val="000000"/>
          <w:sz w:val="24"/>
          <w:szCs w:val="24"/>
        </w:rPr>
        <w:t>0%</w:t>
      </w:r>
      <w:r>
        <w:rPr>
          <w:rFonts w:hint="eastAsia" w:ascii="仿宋_GB2312" w:hAnsi="Times New Roman" w:eastAsia="仿宋_GB2312" w:cs="仿宋_GB2312"/>
          <w:color w:val="000000"/>
          <w:sz w:val="24"/>
          <w:szCs w:val="24"/>
        </w:rPr>
        <w:t>。实训成绩由教师根据对个人实践操作过程和结果的综合考核给出个人成绩。任课教师将每个学生的理论成绩和实践成绩相加，得出该课程的最终考核成绩。</w:t>
      </w:r>
    </w:p>
    <w:p w14:paraId="06248AD4">
      <w:pPr>
        <w:pStyle w:val="17"/>
        <w:spacing w:after="0" w:line="400" w:lineRule="exact"/>
        <w:ind w:firstLine="480" w:firstLineChars="200"/>
        <w:rPr>
          <w:sz w:val="24"/>
          <w:szCs w:val="24"/>
        </w:rPr>
      </w:pPr>
      <w:r>
        <w:rPr>
          <w:rFonts w:hint="eastAsia"/>
          <w:sz w:val="24"/>
          <w:szCs w:val="24"/>
        </w:rPr>
        <w:t>3.教学条件</w:t>
      </w:r>
    </w:p>
    <w:p w14:paraId="0BD7CFA2">
      <w:pPr>
        <w:spacing w:line="400" w:lineRule="exact"/>
        <w:ind w:firstLine="480" w:firstLineChars="200"/>
        <w:rPr>
          <w:rFonts w:ascii="仿宋_GB2312" w:hAnsi="Times New Roman" w:eastAsia="仿宋_GB2312" w:cs="Times New Roman"/>
          <w:color w:val="000000"/>
          <w:sz w:val="24"/>
          <w:szCs w:val="24"/>
        </w:rPr>
      </w:pPr>
      <w:r>
        <w:rPr>
          <w:rFonts w:hint="eastAsia" w:ascii="仿宋_GB2312" w:hAnsi="Times New Roman" w:eastAsia="仿宋_GB2312" w:cs="Times New Roman"/>
          <w:color w:val="000000"/>
          <w:sz w:val="24"/>
          <w:szCs w:val="24"/>
        </w:rPr>
        <w:t>该课程需要课程教学条件和实践教学条件两方面。课堂教学条件是指</w:t>
      </w:r>
      <w:r>
        <w:rPr>
          <w:rFonts w:hint="eastAsia" w:ascii="仿宋_GB2312" w:hAnsi="Times New Roman" w:eastAsia="仿宋_GB2312" w:cs="仿宋_GB2312"/>
          <w:color w:val="000000"/>
          <w:sz w:val="24"/>
          <w:szCs w:val="24"/>
        </w:rPr>
        <w:t>一支结构合理、素质优良、具有良好职业修养的“双师素质”教师队伍，</w:t>
      </w:r>
      <w:r>
        <w:rPr>
          <w:rFonts w:hint="eastAsia" w:ascii="仿宋_GB2312" w:hAnsi="Times New Roman" w:eastAsia="仿宋_GB2312" w:cs="Times New Roman"/>
          <w:color w:val="000000"/>
          <w:sz w:val="24"/>
          <w:szCs w:val="24"/>
        </w:rPr>
        <w:t>指导老师具有扎实大数据理论基础和一定大数据会计的工作经历，熟悉大数据相关软件的具体操作，能够指导学生进行相关软件的示范教学。必要的实践教学条件是指配备装有电子报税模拟实训系统的机房，拥有足够数量的实训资料。</w:t>
      </w:r>
    </w:p>
    <w:p w14:paraId="3C66FB25">
      <w:pPr>
        <w:pStyle w:val="17"/>
        <w:spacing w:after="0" w:line="400" w:lineRule="exact"/>
        <w:ind w:firstLine="480" w:firstLineChars="200"/>
        <w:rPr>
          <w:bCs/>
          <w:sz w:val="24"/>
          <w:szCs w:val="24"/>
        </w:rPr>
      </w:pPr>
      <w:r>
        <w:rPr>
          <w:rFonts w:hint="eastAsia"/>
          <w:bCs/>
          <w:sz w:val="24"/>
          <w:szCs w:val="24"/>
        </w:rPr>
        <w:t>4.教材编选</w:t>
      </w:r>
    </w:p>
    <w:p w14:paraId="02FB686D">
      <w:pPr>
        <w:spacing w:line="400" w:lineRule="exact"/>
        <w:ind w:firstLine="480" w:firstLineChars="200"/>
        <w:rPr>
          <w:rFonts w:ascii="仿宋_GB2312" w:hAnsi="Times New Roman" w:eastAsia="仿宋_GB2312" w:cs="Times New Roman"/>
          <w:color w:val="000000"/>
          <w:sz w:val="24"/>
          <w:szCs w:val="24"/>
        </w:rPr>
      </w:pPr>
      <w:r>
        <w:rPr>
          <w:rFonts w:ascii="仿宋_GB2312" w:hAnsi="Times New Roman" w:eastAsia="仿宋_GB2312" w:cs="仿宋_GB2312"/>
          <w:color w:val="000000"/>
          <w:sz w:val="24"/>
          <w:szCs w:val="24"/>
        </w:rPr>
        <w:t>1.</w:t>
      </w:r>
      <w:r>
        <w:rPr>
          <w:rFonts w:hint="eastAsia" w:ascii="仿宋_GB2312" w:hAnsi="Times New Roman" w:eastAsia="仿宋_GB2312" w:cs="仿宋_GB2312"/>
          <w:color w:val="000000"/>
          <w:sz w:val="24"/>
          <w:szCs w:val="24"/>
        </w:rPr>
        <w:t>教材的选用以课程标准为依据，理论与实际相结合，做到学做合一，理实一体，内容和形式要有利于学生的全面发展和长远发展。</w:t>
      </w:r>
    </w:p>
    <w:p w14:paraId="673AD88B">
      <w:pPr>
        <w:spacing w:line="400" w:lineRule="exact"/>
        <w:ind w:firstLine="480" w:firstLineChars="200"/>
        <w:rPr>
          <w:rFonts w:ascii="仿宋_GB2312" w:hAnsi="Times New Roman" w:eastAsia="仿宋_GB2312" w:cs="Times New Roman"/>
          <w:color w:val="000000"/>
          <w:sz w:val="24"/>
          <w:szCs w:val="24"/>
        </w:rPr>
      </w:pPr>
      <w:r>
        <w:rPr>
          <w:rFonts w:ascii="仿宋_GB2312" w:hAnsi="Times New Roman" w:eastAsia="仿宋_GB2312" w:cs="仿宋_GB2312"/>
          <w:color w:val="000000"/>
          <w:sz w:val="24"/>
          <w:szCs w:val="24"/>
        </w:rPr>
        <w:t>2.</w:t>
      </w:r>
      <w:r>
        <w:rPr>
          <w:rFonts w:hint="eastAsia" w:ascii="仿宋_GB2312" w:hAnsi="Times New Roman" w:eastAsia="仿宋_GB2312" w:cs="仿宋_GB2312"/>
          <w:color w:val="000000"/>
          <w:sz w:val="24"/>
          <w:szCs w:val="24"/>
        </w:rPr>
        <w:t>教材使用时需要结合实际教学需要，灵活地和有创造性地使用教材，对教材的内容、编排顺序、教学方法等方面进行适当的取舍或调整。</w:t>
      </w:r>
    </w:p>
    <w:p w14:paraId="55833D5D">
      <w:pPr>
        <w:spacing w:line="400" w:lineRule="exact"/>
        <w:ind w:firstLine="480" w:firstLineChars="200"/>
        <w:rPr>
          <w:rFonts w:ascii="仿宋_GB2312" w:hAnsi="Times New Roman" w:eastAsia="仿宋_GB2312" w:cs="Times New Roman"/>
          <w:color w:val="000000"/>
          <w:sz w:val="24"/>
          <w:szCs w:val="24"/>
        </w:rPr>
      </w:pPr>
      <w:r>
        <w:rPr>
          <w:rFonts w:ascii="仿宋_GB2312" w:hAnsi="Times New Roman" w:eastAsia="仿宋_GB2312" w:cs="仿宋_GB2312"/>
          <w:color w:val="000000"/>
          <w:sz w:val="24"/>
          <w:szCs w:val="24"/>
        </w:rPr>
        <w:t>3.</w:t>
      </w:r>
      <w:r>
        <w:rPr>
          <w:rFonts w:hint="eastAsia" w:ascii="仿宋_GB2312" w:hAnsi="Times New Roman" w:eastAsia="仿宋_GB2312" w:cs="仿宋_GB2312"/>
          <w:color w:val="000000"/>
          <w:sz w:val="24"/>
          <w:szCs w:val="24"/>
        </w:rPr>
        <w:t>充分运用现代教育技术和多媒体教学手段，开发制作各种形式的教学资源，如：视听光盘、多媒体软件、数字化视频、动画、虚拟现实技术等。现代化教学手段不仅强化学生的实践能力和创新能力，更提高学生的专业素质和综合素质的精品课程体系。</w:t>
      </w:r>
    </w:p>
    <w:p w14:paraId="26475A82">
      <w:pPr>
        <w:spacing w:line="400" w:lineRule="exact"/>
        <w:ind w:firstLine="480" w:firstLineChars="200"/>
        <w:rPr>
          <w:rFonts w:ascii="仿宋_GB2312" w:hAnsi="Times New Roman" w:eastAsia="仿宋_GB2312" w:cs="Times New Roman"/>
          <w:color w:val="000000"/>
          <w:sz w:val="24"/>
          <w:szCs w:val="24"/>
        </w:rPr>
      </w:pPr>
      <w:r>
        <w:rPr>
          <w:rFonts w:hint="eastAsia" w:ascii="仿宋_GB2312" w:hAnsi="Times New Roman" w:eastAsia="仿宋_GB2312" w:cs="仿宋_GB2312"/>
          <w:color w:val="000000"/>
          <w:sz w:val="24"/>
          <w:szCs w:val="24"/>
        </w:rPr>
        <w:t>4</w:t>
      </w:r>
      <w:r>
        <w:rPr>
          <w:rFonts w:ascii="仿宋_GB2312" w:hAnsi="Times New Roman" w:eastAsia="仿宋_GB2312" w:cs="仿宋_GB2312"/>
          <w:color w:val="000000"/>
          <w:sz w:val="24"/>
          <w:szCs w:val="24"/>
        </w:rPr>
        <w:t>.</w:t>
      </w:r>
      <w:r>
        <w:rPr>
          <w:rFonts w:hint="eastAsia" w:ascii="仿宋_GB2312" w:hAnsi="Times New Roman" w:eastAsia="仿宋_GB2312" w:cs="仿宋_GB2312"/>
          <w:color w:val="000000"/>
          <w:sz w:val="24"/>
          <w:szCs w:val="24"/>
        </w:rPr>
        <w:t>教学课件使用与开发。根据课程的教学内容和教学手段制作了大量的多媒体教学课件。课件图文结合，通俗易懂、生动活泼，将抽象的、难于理解的内容化成直观的、易于理解的内容，使学生能深刻地领会大数据理论基础和操作方法，实施启发式教学。</w:t>
      </w:r>
    </w:p>
    <w:p w14:paraId="02F5CAF1">
      <w:pPr>
        <w:pStyle w:val="17"/>
        <w:spacing w:line="360" w:lineRule="auto"/>
        <w:jc w:val="center"/>
        <w:rPr>
          <w:rFonts w:ascii="黑体" w:hAnsi="黑体" w:eastAsia="黑体"/>
          <w:sz w:val="28"/>
          <w:szCs w:val="28"/>
        </w:rPr>
      </w:pPr>
    </w:p>
    <w:p w14:paraId="498A4F48">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39565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3A2DA5AF">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4055E5C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57F2FB4E">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37816DC4">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2F39A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029014DC">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14F93F2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大数据技术概述</w:t>
            </w:r>
          </w:p>
        </w:tc>
        <w:tc>
          <w:tcPr>
            <w:tcW w:w="1980" w:type="dxa"/>
            <w:tcMar>
              <w:top w:w="0" w:type="dxa"/>
              <w:left w:w="108" w:type="dxa"/>
              <w:bottom w:w="0" w:type="dxa"/>
              <w:right w:w="108" w:type="dxa"/>
            </w:tcMar>
            <w:vAlign w:val="center"/>
          </w:tcPr>
          <w:p w14:paraId="1F1CFEE6">
            <w:pPr>
              <w:pStyle w:val="178"/>
              <w:spacing w:line="360" w:lineRule="exact"/>
              <w:jc w:val="center"/>
              <w:rPr>
                <w:rFonts w:asciiTheme="minorEastAsia" w:hAnsiTheme="minorEastAsia" w:eastAsiaTheme="minorEastAsia" w:cstheme="minorEastAsia"/>
                <w:spacing w:val="7"/>
                <w:lang w:eastAsia="en-US"/>
              </w:rPr>
            </w:pPr>
            <w:r>
              <w:rPr>
                <w:rFonts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DF1317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0FA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6A09F103">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707C71AE">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大数据分析的方法与流程</w:t>
            </w:r>
          </w:p>
        </w:tc>
        <w:tc>
          <w:tcPr>
            <w:tcW w:w="1980" w:type="dxa"/>
            <w:tcMar>
              <w:top w:w="0" w:type="dxa"/>
              <w:left w:w="108" w:type="dxa"/>
              <w:bottom w:w="0" w:type="dxa"/>
              <w:right w:w="108" w:type="dxa"/>
            </w:tcMar>
            <w:vAlign w:val="center"/>
          </w:tcPr>
          <w:p w14:paraId="0545D3F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79E7F0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6A3F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99BD08D">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673F9974">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大数据分析处理系统</w:t>
            </w:r>
          </w:p>
        </w:tc>
        <w:tc>
          <w:tcPr>
            <w:tcW w:w="1980" w:type="dxa"/>
            <w:tcMar>
              <w:top w:w="0" w:type="dxa"/>
              <w:left w:w="108" w:type="dxa"/>
              <w:bottom w:w="0" w:type="dxa"/>
              <w:right w:w="108" w:type="dxa"/>
            </w:tcMar>
            <w:vAlign w:val="center"/>
          </w:tcPr>
          <w:p w14:paraId="080C96C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9542C8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2ADC3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9BC3C2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3F0F3174">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大数据可视化的认识</w:t>
            </w:r>
          </w:p>
        </w:tc>
        <w:tc>
          <w:tcPr>
            <w:tcW w:w="1980" w:type="dxa"/>
            <w:tcMar>
              <w:top w:w="0" w:type="dxa"/>
              <w:left w:w="108" w:type="dxa"/>
              <w:bottom w:w="0" w:type="dxa"/>
              <w:right w:w="108" w:type="dxa"/>
            </w:tcMar>
            <w:vAlign w:val="center"/>
          </w:tcPr>
          <w:p w14:paraId="44538E1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3E6E50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69955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FA6BCB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667AFF43">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大数据可视化工具</w:t>
            </w:r>
          </w:p>
        </w:tc>
        <w:tc>
          <w:tcPr>
            <w:tcW w:w="1980" w:type="dxa"/>
            <w:tcMar>
              <w:top w:w="0" w:type="dxa"/>
              <w:left w:w="108" w:type="dxa"/>
              <w:bottom w:w="0" w:type="dxa"/>
              <w:right w:w="108" w:type="dxa"/>
            </w:tcMar>
            <w:vAlign w:val="center"/>
          </w:tcPr>
          <w:p w14:paraId="4E418A4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846FAB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BC20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45308A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4DDD1239">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H</w:t>
            </w:r>
            <w:r>
              <w:rPr>
                <w:rFonts w:ascii="宋体" w:hAnsi="宋体" w:eastAsia="宋体" w:cs="宋体"/>
                <w:lang w:eastAsia="en-US"/>
              </w:rPr>
              <w:t>adoop</w:t>
            </w:r>
            <w:r>
              <w:rPr>
                <w:rFonts w:hint="eastAsia" w:ascii="宋体" w:hAnsi="宋体" w:eastAsia="宋体" w:cs="宋体"/>
                <w:lang w:eastAsia="en-US"/>
              </w:rPr>
              <w:t>的架构与组成</w:t>
            </w:r>
          </w:p>
        </w:tc>
        <w:tc>
          <w:tcPr>
            <w:tcW w:w="1980" w:type="dxa"/>
            <w:tcMar>
              <w:top w:w="0" w:type="dxa"/>
              <w:left w:w="108" w:type="dxa"/>
              <w:bottom w:w="0" w:type="dxa"/>
              <w:right w:w="108" w:type="dxa"/>
            </w:tcMar>
            <w:vAlign w:val="center"/>
          </w:tcPr>
          <w:p w14:paraId="6A6DDD9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5A086D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D0D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355B39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6266671A">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Hadoop的平台搭建及应用</w:t>
            </w:r>
          </w:p>
        </w:tc>
        <w:tc>
          <w:tcPr>
            <w:tcW w:w="1980" w:type="dxa"/>
            <w:tcMar>
              <w:top w:w="0" w:type="dxa"/>
              <w:left w:w="108" w:type="dxa"/>
              <w:bottom w:w="0" w:type="dxa"/>
              <w:right w:w="108" w:type="dxa"/>
            </w:tcMar>
            <w:vAlign w:val="center"/>
          </w:tcPr>
          <w:p w14:paraId="7F575AB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D9737C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2FBE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28608A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0C4950F5">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Map</w:t>
            </w:r>
            <w:r>
              <w:rPr>
                <w:rFonts w:ascii="宋体" w:hAnsi="宋体" w:eastAsia="宋体" w:cs="宋体"/>
                <w:lang w:eastAsia="en-US"/>
              </w:rPr>
              <w:t>Reduce</w:t>
            </w:r>
            <w:r>
              <w:rPr>
                <w:rFonts w:hint="eastAsia" w:ascii="宋体" w:hAnsi="宋体" w:eastAsia="宋体" w:cs="宋体"/>
                <w:lang w:eastAsia="en-US"/>
              </w:rPr>
              <w:t>的认识</w:t>
            </w:r>
          </w:p>
        </w:tc>
        <w:tc>
          <w:tcPr>
            <w:tcW w:w="1980" w:type="dxa"/>
            <w:tcMar>
              <w:top w:w="0" w:type="dxa"/>
              <w:left w:w="108" w:type="dxa"/>
              <w:bottom w:w="0" w:type="dxa"/>
              <w:right w:w="108" w:type="dxa"/>
            </w:tcMar>
            <w:vAlign w:val="center"/>
          </w:tcPr>
          <w:p w14:paraId="012E307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D2FD83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79B3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1E29B0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5211F828">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Map</w:t>
            </w:r>
            <w:r>
              <w:rPr>
                <w:rFonts w:ascii="宋体" w:hAnsi="宋体" w:eastAsia="宋体" w:cs="宋体"/>
                <w:lang w:eastAsia="en-US"/>
              </w:rPr>
              <w:t>Reduce</w:t>
            </w:r>
            <w:r>
              <w:rPr>
                <w:rFonts w:hint="eastAsia" w:ascii="宋体" w:hAnsi="宋体" w:eastAsia="宋体" w:cs="宋体"/>
                <w:lang w:eastAsia="en-US"/>
              </w:rPr>
              <w:t>的架构及工作流程</w:t>
            </w:r>
          </w:p>
        </w:tc>
        <w:tc>
          <w:tcPr>
            <w:tcW w:w="1980" w:type="dxa"/>
            <w:tcMar>
              <w:top w:w="0" w:type="dxa"/>
              <w:left w:w="108" w:type="dxa"/>
              <w:bottom w:w="0" w:type="dxa"/>
              <w:right w:w="108" w:type="dxa"/>
            </w:tcMar>
            <w:vAlign w:val="center"/>
          </w:tcPr>
          <w:p w14:paraId="15BDF29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1FBD3D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35A3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2D45EA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0</w:t>
            </w:r>
          </w:p>
        </w:tc>
        <w:tc>
          <w:tcPr>
            <w:tcW w:w="3079" w:type="dxa"/>
            <w:tcMar>
              <w:top w:w="0" w:type="dxa"/>
              <w:left w:w="108" w:type="dxa"/>
              <w:bottom w:w="0" w:type="dxa"/>
              <w:right w:w="108" w:type="dxa"/>
            </w:tcMar>
            <w:vAlign w:val="center"/>
          </w:tcPr>
          <w:p w14:paraId="714B6DE3">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Spark的概述</w:t>
            </w:r>
          </w:p>
        </w:tc>
        <w:tc>
          <w:tcPr>
            <w:tcW w:w="1980" w:type="dxa"/>
            <w:tcMar>
              <w:top w:w="0" w:type="dxa"/>
              <w:left w:w="108" w:type="dxa"/>
              <w:bottom w:w="0" w:type="dxa"/>
              <w:right w:w="108" w:type="dxa"/>
            </w:tcMar>
            <w:vAlign w:val="center"/>
          </w:tcPr>
          <w:p w14:paraId="1495664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FF7372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101F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AA48B8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1</w:t>
            </w:r>
          </w:p>
        </w:tc>
        <w:tc>
          <w:tcPr>
            <w:tcW w:w="3079" w:type="dxa"/>
            <w:tcMar>
              <w:top w:w="0" w:type="dxa"/>
              <w:left w:w="108" w:type="dxa"/>
              <w:bottom w:w="0" w:type="dxa"/>
              <w:right w:w="108" w:type="dxa"/>
            </w:tcMar>
            <w:vAlign w:val="center"/>
          </w:tcPr>
          <w:p w14:paraId="3371DF49">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期中考试</w:t>
            </w:r>
          </w:p>
        </w:tc>
        <w:tc>
          <w:tcPr>
            <w:tcW w:w="1980" w:type="dxa"/>
            <w:tcMar>
              <w:top w:w="0" w:type="dxa"/>
              <w:left w:w="108" w:type="dxa"/>
              <w:bottom w:w="0" w:type="dxa"/>
              <w:right w:w="108" w:type="dxa"/>
            </w:tcMar>
            <w:vAlign w:val="center"/>
          </w:tcPr>
          <w:p w14:paraId="70E8C0A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7C553D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考试</w:t>
            </w:r>
          </w:p>
        </w:tc>
      </w:tr>
      <w:tr w14:paraId="76F4C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FE75D1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2</w:t>
            </w:r>
          </w:p>
        </w:tc>
        <w:tc>
          <w:tcPr>
            <w:tcW w:w="3079" w:type="dxa"/>
            <w:tcMar>
              <w:top w:w="0" w:type="dxa"/>
              <w:left w:w="108" w:type="dxa"/>
              <w:bottom w:w="0" w:type="dxa"/>
              <w:right w:w="108" w:type="dxa"/>
            </w:tcMar>
            <w:vAlign w:val="center"/>
          </w:tcPr>
          <w:p w14:paraId="7620C627">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Spark与Hadoop的优势与缺陷</w:t>
            </w:r>
          </w:p>
        </w:tc>
        <w:tc>
          <w:tcPr>
            <w:tcW w:w="1980" w:type="dxa"/>
            <w:tcMar>
              <w:top w:w="0" w:type="dxa"/>
              <w:left w:w="108" w:type="dxa"/>
              <w:bottom w:w="0" w:type="dxa"/>
              <w:right w:w="108" w:type="dxa"/>
            </w:tcMar>
            <w:vAlign w:val="center"/>
          </w:tcPr>
          <w:p w14:paraId="3E715D0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22D383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7A006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DB3EC7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0D86CCD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云计算的概述</w:t>
            </w:r>
          </w:p>
        </w:tc>
        <w:tc>
          <w:tcPr>
            <w:tcW w:w="1980" w:type="dxa"/>
            <w:tcMar>
              <w:top w:w="0" w:type="dxa"/>
              <w:left w:w="108" w:type="dxa"/>
              <w:bottom w:w="0" w:type="dxa"/>
              <w:right w:w="108" w:type="dxa"/>
            </w:tcMar>
            <w:vAlign w:val="center"/>
          </w:tcPr>
          <w:p w14:paraId="48E5B3C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14C76E2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6F2A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EECA07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149028D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虚拟技术与资源池化技术</w:t>
            </w:r>
          </w:p>
        </w:tc>
        <w:tc>
          <w:tcPr>
            <w:tcW w:w="1980" w:type="dxa"/>
            <w:tcMar>
              <w:top w:w="0" w:type="dxa"/>
              <w:left w:w="108" w:type="dxa"/>
              <w:bottom w:w="0" w:type="dxa"/>
              <w:right w:w="108" w:type="dxa"/>
            </w:tcMar>
            <w:vAlign w:val="center"/>
          </w:tcPr>
          <w:p w14:paraId="7CBA7A1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A6028D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40BE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DFFCC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624CB30E">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云计算的应用</w:t>
            </w:r>
          </w:p>
        </w:tc>
        <w:tc>
          <w:tcPr>
            <w:tcW w:w="1980" w:type="dxa"/>
            <w:tcMar>
              <w:top w:w="0" w:type="dxa"/>
              <w:left w:w="108" w:type="dxa"/>
              <w:bottom w:w="0" w:type="dxa"/>
              <w:right w:w="108" w:type="dxa"/>
            </w:tcMar>
            <w:vAlign w:val="center"/>
          </w:tcPr>
          <w:p w14:paraId="3794A6D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B8EAF2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18430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0C41C5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1DE54147">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大数据解决方案</w:t>
            </w:r>
          </w:p>
        </w:tc>
        <w:tc>
          <w:tcPr>
            <w:tcW w:w="1980" w:type="dxa"/>
            <w:tcMar>
              <w:top w:w="0" w:type="dxa"/>
              <w:left w:w="108" w:type="dxa"/>
              <w:bottom w:w="0" w:type="dxa"/>
              <w:right w:w="108" w:type="dxa"/>
            </w:tcMar>
            <w:vAlign w:val="center"/>
          </w:tcPr>
          <w:p w14:paraId="1CA3711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5C9A4A8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5DEC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4CEC413">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2DDA5620">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大数据解决方案案例</w:t>
            </w:r>
          </w:p>
        </w:tc>
        <w:tc>
          <w:tcPr>
            <w:tcW w:w="1980" w:type="dxa"/>
            <w:tcMar>
              <w:top w:w="0" w:type="dxa"/>
              <w:left w:w="108" w:type="dxa"/>
              <w:bottom w:w="0" w:type="dxa"/>
              <w:right w:w="108" w:type="dxa"/>
            </w:tcMar>
            <w:vAlign w:val="center"/>
          </w:tcPr>
          <w:p w14:paraId="6071934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35CFED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143C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154283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w:t>
            </w:r>
            <w:r>
              <w:rPr>
                <w:rFonts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277D3956">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In</w:t>
            </w:r>
            <w:r>
              <w:rPr>
                <w:rFonts w:ascii="宋体" w:hAnsi="宋体" w:eastAsia="宋体" w:cs="宋体"/>
                <w:lang w:eastAsia="en-US"/>
              </w:rPr>
              <w:t>tel</w:t>
            </w:r>
            <w:r>
              <w:rPr>
                <w:rFonts w:hint="eastAsia" w:ascii="宋体" w:hAnsi="宋体" w:eastAsia="宋体" w:cs="宋体"/>
                <w:lang w:eastAsia="en-US"/>
              </w:rPr>
              <w:t>大数据解决方案</w:t>
            </w:r>
          </w:p>
        </w:tc>
        <w:tc>
          <w:tcPr>
            <w:tcW w:w="1980" w:type="dxa"/>
            <w:tcMar>
              <w:top w:w="0" w:type="dxa"/>
              <w:left w:w="108" w:type="dxa"/>
              <w:bottom w:w="0" w:type="dxa"/>
              <w:right w:w="108" w:type="dxa"/>
            </w:tcMar>
            <w:vAlign w:val="center"/>
          </w:tcPr>
          <w:p w14:paraId="3468896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6814A9C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2DED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B3DF957">
            <w:pPr>
              <w:spacing w:line="360" w:lineRule="exact"/>
              <w:jc w:val="center"/>
              <w:rPr>
                <w:rFonts w:asciiTheme="minorEastAsia" w:hAnsiTheme="minorEastAsia" w:cstheme="minorEastAsia"/>
                <w:snapToGrid w:val="0"/>
                <w:color w:val="000000"/>
                <w:position w:val="-3"/>
                <w:lang w:eastAsia="en-US"/>
              </w:rPr>
            </w:pPr>
            <w:r>
              <w:rPr>
                <w:rFonts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269E0A38">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lang w:eastAsia="en-US"/>
              </w:rPr>
              <w:t>In</w:t>
            </w:r>
            <w:r>
              <w:rPr>
                <w:rFonts w:ascii="宋体" w:hAnsi="宋体" w:eastAsia="宋体" w:cs="宋体"/>
                <w:lang w:eastAsia="en-US"/>
              </w:rPr>
              <w:t>tel</w:t>
            </w:r>
            <w:r>
              <w:rPr>
                <w:rFonts w:hint="eastAsia" w:ascii="宋体" w:hAnsi="宋体" w:eastAsia="宋体" w:cs="宋体"/>
                <w:lang w:eastAsia="en-US"/>
              </w:rPr>
              <w:t>大数据解决方案案例</w:t>
            </w:r>
          </w:p>
        </w:tc>
        <w:tc>
          <w:tcPr>
            <w:tcW w:w="1980" w:type="dxa"/>
            <w:tcMar>
              <w:top w:w="0" w:type="dxa"/>
              <w:left w:w="108" w:type="dxa"/>
              <w:bottom w:w="0" w:type="dxa"/>
              <w:right w:w="108" w:type="dxa"/>
            </w:tcMar>
            <w:vAlign w:val="center"/>
          </w:tcPr>
          <w:p w14:paraId="01AAD72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0009C23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7AB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3CE57DE">
            <w:pPr>
              <w:spacing w:line="360" w:lineRule="exact"/>
              <w:jc w:val="center"/>
              <w:rPr>
                <w:rFonts w:asciiTheme="minorEastAsia" w:hAnsiTheme="minorEastAsia" w:cstheme="minorEastAsia"/>
                <w:snapToGrid w:val="0"/>
                <w:color w:val="000000"/>
                <w:position w:val="-3"/>
                <w:lang w:eastAsia="en-US"/>
              </w:rPr>
            </w:pPr>
            <w:r>
              <w:rPr>
                <w:rFonts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7E0AC5DA">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期末考试</w:t>
            </w:r>
          </w:p>
        </w:tc>
        <w:tc>
          <w:tcPr>
            <w:tcW w:w="1980" w:type="dxa"/>
            <w:tcMar>
              <w:top w:w="0" w:type="dxa"/>
              <w:left w:w="108" w:type="dxa"/>
              <w:bottom w:w="0" w:type="dxa"/>
              <w:right w:w="108" w:type="dxa"/>
            </w:tcMar>
            <w:vAlign w:val="center"/>
          </w:tcPr>
          <w:p w14:paraId="6DD80AB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F2FA79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考试</w:t>
            </w:r>
          </w:p>
        </w:tc>
      </w:tr>
    </w:tbl>
    <w:p w14:paraId="089D1368">
      <w:pPr>
        <w:pStyle w:val="2"/>
        <w:ind w:firstLine="480"/>
        <w:rPr>
          <w:rFonts w:ascii="黑体" w:hAnsi="黑体" w:eastAsia="黑体"/>
          <w:sz w:val="24"/>
          <w:szCs w:val="24"/>
        </w:rPr>
      </w:pPr>
    </w:p>
    <w:p w14:paraId="27247662">
      <w:pPr>
        <w:pStyle w:val="2"/>
        <w:ind w:firstLine="480"/>
        <w:rPr>
          <w:rFonts w:ascii="黑体" w:hAnsi="黑体" w:eastAsia="黑体"/>
          <w:sz w:val="24"/>
          <w:szCs w:val="24"/>
        </w:rPr>
      </w:pPr>
    </w:p>
    <w:p w14:paraId="2A3E84DF">
      <w:pPr>
        <w:rPr>
          <w:rFonts w:hint="eastAsia" w:ascii="黑体" w:hAnsi="黑体" w:eastAsia="黑体" w:cs="黑体"/>
          <w:sz w:val="30"/>
          <w:szCs w:val="30"/>
        </w:rPr>
      </w:pPr>
      <w:bookmarkStart w:id="166" w:name="_Toc19186"/>
      <w:bookmarkStart w:id="167" w:name="_Toc20243"/>
      <w:bookmarkStart w:id="168" w:name="_Toc30873"/>
      <w:r>
        <w:rPr>
          <w:rFonts w:hint="eastAsia" w:ascii="黑体" w:hAnsi="黑体" w:eastAsia="黑体" w:cs="黑体"/>
          <w:sz w:val="30"/>
          <w:szCs w:val="30"/>
        </w:rPr>
        <w:br w:type="page"/>
      </w:r>
    </w:p>
    <w:p w14:paraId="3294B0D3">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财经文员事务课程标准</w:t>
      </w:r>
      <w:bookmarkEnd w:id="166"/>
      <w:bookmarkEnd w:id="167"/>
      <w:bookmarkEnd w:id="168"/>
    </w:p>
    <w:p w14:paraId="494A0904">
      <w:pPr>
        <w:pStyle w:val="17"/>
        <w:spacing w:after="0" w:line="400" w:lineRule="exact"/>
        <w:ind w:firstLine="560" w:firstLineChars="200"/>
        <w:rPr>
          <w:rFonts w:ascii="楷体_GB2312" w:eastAsia="楷体_GB2312"/>
          <w:sz w:val="28"/>
          <w:szCs w:val="28"/>
        </w:rPr>
      </w:pPr>
    </w:p>
    <w:p w14:paraId="3F7FA964">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708080B0">
      <w:pPr>
        <w:pStyle w:val="17"/>
        <w:spacing w:after="0" w:line="400" w:lineRule="exact"/>
        <w:ind w:firstLine="480" w:firstLineChars="200"/>
        <w:rPr>
          <w:rFonts w:ascii="仿宋_GB2312" w:cs="仿宋_GB2312"/>
          <w:sz w:val="24"/>
          <w:szCs w:val="24"/>
        </w:rPr>
      </w:pPr>
      <w:r>
        <w:rPr>
          <w:rFonts w:hint="eastAsia" w:ascii="仿宋_GB2312" w:cs="仿宋_GB2312"/>
          <w:sz w:val="24"/>
          <w:szCs w:val="24"/>
        </w:rPr>
        <w:t>本课程以用人单位对财经文员知识与技能的需求为基础，以中小企业财经文员的日常工作为主线，采用任务驱动法构建内容结构，设计了多项任务来呈现财经文员岗位日常办公事务。</w:t>
      </w:r>
    </w:p>
    <w:p w14:paraId="6451CF84">
      <w:pPr>
        <w:pStyle w:val="17"/>
        <w:spacing w:after="0" w:line="400" w:lineRule="exact"/>
        <w:ind w:firstLine="480" w:firstLineChars="200"/>
        <w:rPr>
          <w:rFonts w:ascii="仿宋_GB2312" w:cs="仿宋_GB2312"/>
          <w:sz w:val="24"/>
          <w:szCs w:val="24"/>
        </w:rPr>
      </w:pPr>
      <w:r>
        <w:rPr>
          <w:rFonts w:hint="eastAsia" w:ascii="仿宋_GB2312" w:cs="仿宋_GB2312"/>
          <w:sz w:val="24"/>
          <w:szCs w:val="24"/>
        </w:rPr>
        <w:t>本课程学生主要学习包括商务沟通、办公设备及办公软件的使用、信息的收集与整理、办公事务、会务工作、商务旅行、档案管理、劳动合同管理、职工薪酬管理、纳税业务、商事变更登记与年度报告公示、拟写常用事务文书等内容，为学生进入社会奠定扎实基础。</w:t>
      </w:r>
    </w:p>
    <w:p w14:paraId="3404B693">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67646CFD">
      <w:pPr>
        <w:pStyle w:val="17"/>
        <w:spacing w:after="0" w:line="400" w:lineRule="exact"/>
        <w:ind w:firstLine="480" w:firstLineChars="200"/>
        <w:rPr>
          <w:sz w:val="24"/>
          <w:szCs w:val="24"/>
        </w:rPr>
      </w:pPr>
      <w:r>
        <w:rPr>
          <w:rFonts w:hint="eastAsia"/>
          <w:sz w:val="24"/>
          <w:szCs w:val="24"/>
        </w:rPr>
        <w:t>1</w:t>
      </w:r>
      <w:r>
        <w:rPr>
          <w:sz w:val="24"/>
          <w:szCs w:val="24"/>
        </w:rPr>
        <w:t>.素质目标</w:t>
      </w:r>
    </w:p>
    <w:p w14:paraId="3606A5ED">
      <w:pPr>
        <w:pStyle w:val="17"/>
        <w:spacing w:after="0" w:line="400" w:lineRule="exact"/>
        <w:ind w:firstLine="480" w:firstLineChars="200"/>
        <w:rPr>
          <w:sz w:val="24"/>
          <w:szCs w:val="24"/>
        </w:rPr>
      </w:pPr>
      <w:r>
        <w:rPr>
          <w:rFonts w:hint="eastAsia"/>
          <w:sz w:val="24"/>
          <w:szCs w:val="24"/>
        </w:rPr>
        <w:t>（1）具备严格按照税务要求执行税务相关工作的职业能力和素质；</w:t>
      </w:r>
    </w:p>
    <w:p w14:paraId="416A4011">
      <w:pPr>
        <w:pStyle w:val="17"/>
        <w:spacing w:after="0" w:line="400" w:lineRule="exact"/>
        <w:ind w:firstLine="480" w:firstLineChars="200"/>
        <w:rPr>
          <w:sz w:val="24"/>
          <w:szCs w:val="24"/>
        </w:rPr>
      </w:pPr>
      <w:r>
        <w:rPr>
          <w:rFonts w:hint="eastAsia"/>
          <w:sz w:val="24"/>
          <w:szCs w:val="24"/>
        </w:rPr>
        <w:t>（2）培养严格核算，数据真实准确、客观公正的工作态度；</w:t>
      </w:r>
    </w:p>
    <w:p w14:paraId="68CF4A69">
      <w:pPr>
        <w:pStyle w:val="17"/>
        <w:spacing w:after="0" w:line="400" w:lineRule="exact"/>
        <w:ind w:firstLine="480" w:firstLineChars="200"/>
        <w:rPr>
          <w:sz w:val="24"/>
          <w:szCs w:val="24"/>
        </w:rPr>
      </w:pPr>
      <w:r>
        <w:rPr>
          <w:rFonts w:hint="eastAsia"/>
          <w:sz w:val="24"/>
          <w:szCs w:val="24"/>
        </w:rPr>
        <w:t>（3）能树立并弘扬正确的消费观念，增强安全提防意识以及安全提防办法；</w:t>
      </w:r>
    </w:p>
    <w:p w14:paraId="05BA350C">
      <w:pPr>
        <w:pStyle w:val="17"/>
        <w:spacing w:after="0" w:line="400" w:lineRule="exact"/>
        <w:ind w:firstLine="480" w:firstLineChars="200"/>
        <w:rPr>
          <w:sz w:val="24"/>
          <w:szCs w:val="24"/>
        </w:rPr>
      </w:pPr>
      <w:r>
        <w:rPr>
          <w:rFonts w:hint="eastAsia"/>
          <w:sz w:val="24"/>
          <w:szCs w:val="24"/>
        </w:rPr>
        <w:t>（4）具备审慎的工作态度和风险意识；</w:t>
      </w:r>
    </w:p>
    <w:p w14:paraId="41DD6C85">
      <w:pPr>
        <w:pStyle w:val="17"/>
        <w:spacing w:after="0" w:line="400" w:lineRule="exact"/>
        <w:ind w:firstLine="480" w:firstLineChars="200"/>
        <w:rPr>
          <w:sz w:val="24"/>
          <w:szCs w:val="24"/>
        </w:rPr>
      </w:pPr>
      <w:r>
        <w:rPr>
          <w:rFonts w:hint="eastAsia"/>
          <w:sz w:val="24"/>
          <w:szCs w:val="24"/>
        </w:rPr>
        <w:t>（5）理解会计税务工作的作用，培养精益求精的工作理念。</w:t>
      </w:r>
    </w:p>
    <w:p w14:paraId="2D851A61">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2F78295B">
      <w:pPr>
        <w:pStyle w:val="17"/>
        <w:spacing w:after="0" w:line="400" w:lineRule="exact"/>
        <w:ind w:firstLine="480" w:firstLineChars="200"/>
        <w:rPr>
          <w:sz w:val="24"/>
          <w:szCs w:val="24"/>
        </w:rPr>
      </w:pPr>
      <w:r>
        <w:rPr>
          <w:rFonts w:hint="eastAsia"/>
          <w:sz w:val="24"/>
          <w:szCs w:val="24"/>
        </w:rPr>
        <w:t>（1）全面负责公司日常办公事务，处理来往电话、函件；日常政务接待、来访客人接待；公司上层文件的传达；</w:t>
      </w:r>
    </w:p>
    <w:p w14:paraId="68507AB3">
      <w:pPr>
        <w:pStyle w:val="17"/>
        <w:spacing w:after="0" w:line="400" w:lineRule="exact"/>
        <w:ind w:firstLine="480" w:firstLineChars="200"/>
        <w:rPr>
          <w:sz w:val="24"/>
          <w:szCs w:val="24"/>
        </w:rPr>
      </w:pPr>
      <w:r>
        <w:rPr>
          <w:rFonts w:hint="eastAsia"/>
          <w:sz w:val="24"/>
          <w:szCs w:val="24"/>
        </w:rPr>
        <w:t>（2）负责日常的财务开支和银行周转业务，处理每月与银行之间的对账；</w:t>
      </w:r>
    </w:p>
    <w:p w14:paraId="3A465948">
      <w:pPr>
        <w:pStyle w:val="17"/>
        <w:spacing w:after="0" w:line="400" w:lineRule="exact"/>
        <w:ind w:firstLine="480" w:firstLineChars="200"/>
        <w:rPr>
          <w:sz w:val="24"/>
          <w:szCs w:val="24"/>
        </w:rPr>
      </w:pPr>
      <w:r>
        <w:rPr>
          <w:rFonts w:hint="eastAsia"/>
          <w:sz w:val="24"/>
          <w:szCs w:val="24"/>
        </w:rPr>
        <w:t>（3）编制现金凭证，填制相关报表并交上级审核，确保现金与报表相符；</w:t>
      </w:r>
    </w:p>
    <w:p w14:paraId="74A220D3">
      <w:pPr>
        <w:pStyle w:val="17"/>
        <w:spacing w:after="0" w:line="400" w:lineRule="exact"/>
        <w:ind w:firstLine="480" w:firstLineChars="200"/>
        <w:rPr>
          <w:sz w:val="24"/>
          <w:szCs w:val="24"/>
        </w:rPr>
      </w:pPr>
      <w:r>
        <w:rPr>
          <w:rFonts w:hint="eastAsia"/>
          <w:sz w:val="24"/>
          <w:szCs w:val="24"/>
        </w:rPr>
        <w:t>（4）登现金日记帐、银行日记帐、编制银行余额调节表；</w:t>
      </w:r>
    </w:p>
    <w:p w14:paraId="621E8A6F">
      <w:pPr>
        <w:pStyle w:val="17"/>
        <w:spacing w:after="0" w:line="400" w:lineRule="exact"/>
        <w:ind w:firstLine="480" w:firstLineChars="200"/>
        <w:rPr>
          <w:sz w:val="24"/>
          <w:szCs w:val="24"/>
        </w:rPr>
      </w:pPr>
      <w:r>
        <w:rPr>
          <w:rFonts w:hint="eastAsia"/>
          <w:sz w:val="24"/>
          <w:szCs w:val="24"/>
        </w:rPr>
        <w:t>（5）办理工商税务年审、企业变更、购买发票等业务；</w:t>
      </w:r>
    </w:p>
    <w:p w14:paraId="002D8085">
      <w:pPr>
        <w:pStyle w:val="17"/>
        <w:spacing w:after="0" w:line="400" w:lineRule="exact"/>
        <w:ind w:firstLine="480" w:firstLineChars="200"/>
        <w:rPr>
          <w:sz w:val="24"/>
          <w:szCs w:val="24"/>
        </w:rPr>
      </w:pPr>
      <w:r>
        <w:rPr>
          <w:rFonts w:hint="eastAsia"/>
          <w:sz w:val="24"/>
          <w:szCs w:val="24"/>
        </w:rPr>
        <w:t>（6）人力资源考勤统计。</w:t>
      </w:r>
    </w:p>
    <w:p w14:paraId="2F957A7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0262073E">
      <w:pPr>
        <w:pStyle w:val="17"/>
        <w:spacing w:after="0" w:line="400" w:lineRule="exact"/>
        <w:ind w:firstLine="480" w:firstLineChars="200"/>
        <w:rPr>
          <w:sz w:val="24"/>
          <w:szCs w:val="24"/>
        </w:rPr>
      </w:pPr>
      <w:r>
        <w:rPr>
          <w:rFonts w:hint="eastAsia"/>
          <w:sz w:val="24"/>
          <w:szCs w:val="24"/>
        </w:rPr>
        <w:t>（1）具备与各个部门协作的能力；</w:t>
      </w:r>
    </w:p>
    <w:p w14:paraId="1642C2A7">
      <w:pPr>
        <w:pStyle w:val="17"/>
        <w:spacing w:after="0" w:line="400" w:lineRule="exact"/>
        <w:ind w:firstLine="480" w:firstLineChars="200"/>
        <w:rPr>
          <w:sz w:val="24"/>
          <w:szCs w:val="24"/>
        </w:rPr>
      </w:pPr>
      <w:r>
        <w:rPr>
          <w:rFonts w:hint="eastAsia"/>
          <w:sz w:val="24"/>
          <w:szCs w:val="24"/>
        </w:rPr>
        <w:t>（2）具备根据不同业务详细编制不同的凭证的能力；</w:t>
      </w:r>
    </w:p>
    <w:p w14:paraId="086A82F4">
      <w:pPr>
        <w:pStyle w:val="17"/>
        <w:spacing w:after="0" w:line="400" w:lineRule="exact"/>
        <w:ind w:firstLine="480" w:firstLineChars="200"/>
        <w:rPr>
          <w:sz w:val="24"/>
          <w:szCs w:val="24"/>
        </w:rPr>
      </w:pPr>
      <w:r>
        <w:rPr>
          <w:rFonts w:hint="eastAsia"/>
          <w:sz w:val="24"/>
          <w:szCs w:val="24"/>
        </w:rPr>
        <w:t>（3）能够掌握各日常事务及相关业务的会计核算。</w:t>
      </w:r>
    </w:p>
    <w:p w14:paraId="0E46CA8E">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7151D82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5651F2AD">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47CA6A0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4学分。</w:t>
      </w:r>
    </w:p>
    <w:p w14:paraId="505A184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p w14:paraId="7FF96A2F">
      <w:pPr>
        <w:autoSpaceDE w:val="0"/>
        <w:autoSpaceDN w:val="0"/>
        <w:adjustRightInd w:val="0"/>
        <w:spacing w:line="400" w:lineRule="exact"/>
        <w:ind w:firstLine="420" w:firstLineChars="200"/>
        <w:rPr>
          <w:rFonts w:cs="仿宋_GB2312"/>
        </w:rPr>
      </w:pPr>
      <w:r>
        <w:rPr>
          <w:rFonts w:hint="eastAsia" w:cs="仿宋_GB2312"/>
        </w:rPr>
        <w:t>本课程坚持立德树人的根本要求，结合中职学生学习特点，遵循职业教育人才培养规律，落实课程思政要求，有机融入思想政治教育内容，紧密联系工作实际，突出应用性和实践性，注重学生职业能力和可持续发展能力的培养,结合中高本衔接培养需要，根据会计事务专业我校人才培养方案中本课程的内容与要求，合理设计如下教学单元和教学活动。</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544"/>
        <w:gridCol w:w="3018"/>
        <w:gridCol w:w="724"/>
      </w:tblGrid>
      <w:tr w14:paraId="7EB51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1C05633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264020F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544" w:type="dxa"/>
            <w:shd w:val="clear" w:color="auto" w:fill="BEBEBE" w:themeFill="background1" w:themeFillShade="BF"/>
            <w:vAlign w:val="center"/>
          </w:tcPr>
          <w:p w14:paraId="5DA6281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3018" w:type="dxa"/>
            <w:shd w:val="clear" w:color="auto" w:fill="BEBEBE" w:themeFill="background1" w:themeFillShade="BF"/>
            <w:vAlign w:val="center"/>
          </w:tcPr>
          <w:p w14:paraId="45F3F87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4F54AF0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4644180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072B2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7530893">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1B6618B8">
            <w:pPr>
              <w:adjustRightInd w:val="0"/>
              <w:jc w:val="center"/>
              <w:rPr>
                <w:rFonts w:asciiTheme="minorEastAsia" w:hAnsiTheme="minorEastAsia" w:cstheme="minorEastAsia"/>
              </w:rPr>
            </w:pPr>
            <w:r>
              <w:rPr>
                <w:rFonts w:hint="eastAsia" w:ascii="仿宋_GB2312"/>
              </w:rPr>
              <w:t>会计文员日常事务处理</w:t>
            </w:r>
          </w:p>
        </w:tc>
        <w:tc>
          <w:tcPr>
            <w:tcW w:w="2544" w:type="dxa"/>
            <w:vAlign w:val="center"/>
          </w:tcPr>
          <w:p w14:paraId="383284C6">
            <w:pPr>
              <w:adjustRightInd w:val="0"/>
              <w:rPr>
                <w:sz w:val="20"/>
                <w:szCs w:val="20"/>
                <w:shd w:val="clear" w:color="auto" w:fill="FFFFFF"/>
              </w:rPr>
            </w:pPr>
            <w:r>
              <w:rPr>
                <w:sz w:val="20"/>
                <w:szCs w:val="20"/>
                <w:shd w:val="clear" w:color="auto" w:fill="FFFFFF"/>
              </w:rPr>
              <w:t>1.</w:t>
            </w:r>
            <w:r>
              <w:rPr>
                <w:rFonts w:hint="eastAsia"/>
                <w:sz w:val="20"/>
                <w:szCs w:val="20"/>
                <w:shd w:val="clear" w:color="auto" w:fill="FFFFFF"/>
              </w:rPr>
              <w:t>掌握全面负责公司日常办公事务，处理来往电话、函件；</w:t>
            </w:r>
          </w:p>
          <w:p w14:paraId="7C60943B">
            <w:pPr>
              <w:adjustRightInd w:val="0"/>
              <w:rPr>
                <w:rFonts w:asciiTheme="minorEastAsia" w:hAnsiTheme="minorEastAsia" w:cstheme="minorEastAsia"/>
              </w:rPr>
            </w:pPr>
            <w:r>
              <w:rPr>
                <w:rFonts w:hint="eastAsia"/>
                <w:sz w:val="20"/>
                <w:szCs w:val="20"/>
                <w:shd w:val="clear" w:color="auto" w:fill="FFFFFF"/>
              </w:rPr>
              <w:t>2.掌握日常政务接待、来访客人接待；公司上层文件的传达。</w:t>
            </w:r>
          </w:p>
        </w:tc>
        <w:tc>
          <w:tcPr>
            <w:tcW w:w="3018" w:type="dxa"/>
            <w:vAlign w:val="center"/>
          </w:tcPr>
          <w:p w14:paraId="16D70341">
            <w:pPr>
              <w:adjustRightInd w:val="0"/>
              <w:rPr>
                <w:rFonts w:ascii="仿宋_GB2312"/>
              </w:rPr>
            </w:pPr>
            <w:r>
              <w:rPr>
                <w:rFonts w:hint="eastAsia" w:ascii="仿宋_GB2312"/>
              </w:rPr>
              <w:t>1.多媒体演示，了解会计文员日常事务工作流程；</w:t>
            </w:r>
          </w:p>
          <w:p w14:paraId="49EBB578">
            <w:pPr>
              <w:adjustRightInd w:val="0"/>
              <w:rPr>
                <w:rFonts w:ascii="仿宋_GB2312"/>
              </w:rPr>
            </w:pPr>
            <w:r>
              <w:rPr>
                <w:rFonts w:hint="eastAsia" w:ascii="仿宋_GB2312"/>
              </w:rPr>
              <w:t>2.通过实物或图片和案例展示，更加深刻的了解会计文员工作流程。</w:t>
            </w:r>
          </w:p>
          <w:p w14:paraId="623AB0F8">
            <w:pPr>
              <w:pStyle w:val="2"/>
              <w:rPr>
                <w:rFonts w:eastAsiaTheme="minorEastAsia" w:cstheme="minorEastAsia"/>
              </w:rPr>
            </w:pPr>
            <w:r>
              <w:rPr>
                <w:rFonts w:hint="eastAsia"/>
              </w:rPr>
              <w:t>3</w:t>
            </w:r>
            <w:r>
              <w:rPr>
                <w:rFonts w:asciiTheme="majorEastAsia" w:hAnsiTheme="majorEastAsia" w:eastAsiaTheme="majorEastAsia"/>
              </w:rPr>
              <w:t>.</w:t>
            </w:r>
            <w:r>
              <w:rPr>
                <w:rFonts w:hint="eastAsia" w:asciiTheme="majorEastAsia" w:hAnsiTheme="majorEastAsia" w:eastAsiaTheme="majorEastAsia"/>
              </w:rPr>
              <w:t>提高学生技能，强化学生服务意识。</w:t>
            </w:r>
          </w:p>
        </w:tc>
        <w:tc>
          <w:tcPr>
            <w:tcW w:w="724" w:type="dxa"/>
            <w:vAlign w:val="center"/>
          </w:tcPr>
          <w:p w14:paraId="440B79AE">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72A6C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A3CE2B2">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0819B0F8">
            <w:pPr>
              <w:adjustRightInd w:val="0"/>
              <w:jc w:val="center"/>
              <w:rPr>
                <w:rFonts w:asciiTheme="minorEastAsia" w:hAnsiTheme="minorEastAsia" w:cstheme="minorEastAsia"/>
              </w:rPr>
            </w:pPr>
            <w:r>
              <w:rPr>
                <w:rFonts w:hint="eastAsia" w:ascii="仿宋_GB2312"/>
              </w:rPr>
              <w:t>银行周转业务与凭证编制</w:t>
            </w:r>
          </w:p>
        </w:tc>
        <w:tc>
          <w:tcPr>
            <w:tcW w:w="2544" w:type="dxa"/>
            <w:vAlign w:val="center"/>
          </w:tcPr>
          <w:p w14:paraId="77A65AC7">
            <w:pPr>
              <w:adjustRightInd w:val="0"/>
              <w:rPr>
                <w:rFonts w:asciiTheme="minorEastAsia" w:hAnsiTheme="minorEastAsia" w:cstheme="minorEastAsia"/>
                <w:szCs w:val="21"/>
              </w:rPr>
            </w:pPr>
            <w:r>
              <w:rPr>
                <w:rFonts w:hint="eastAsia" w:asciiTheme="minorEastAsia" w:hAnsiTheme="minorEastAsia" w:cstheme="minorEastAsia"/>
                <w:szCs w:val="21"/>
              </w:rPr>
              <w:t>1.掌握负责日常的财务开支和银行周转业务，处理每月与银行之间的对账。</w:t>
            </w:r>
          </w:p>
          <w:p w14:paraId="16871B7B">
            <w:pPr>
              <w:pStyle w:val="2"/>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2.掌握编制现金凭证，填制相关报表并交上级审核，确保现金与报表相符。</w:t>
            </w:r>
          </w:p>
        </w:tc>
        <w:tc>
          <w:tcPr>
            <w:tcW w:w="3018" w:type="dxa"/>
            <w:vAlign w:val="center"/>
          </w:tcPr>
          <w:p w14:paraId="798C48D5">
            <w:pPr>
              <w:adjustRightInd w:val="0"/>
              <w:rPr>
                <w:rFonts w:asciiTheme="minorEastAsia" w:hAnsiTheme="minorEastAsia" w:cstheme="minorEastAsia"/>
                <w:szCs w:val="21"/>
              </w:rPr>
            </w:pPr>
            <w:r>
              <w:rPr>
                <w:rFonts w:hint="eastAsia" w:asciiTheme="minorEastAsia" w:hAnsiTheme="minorEastAsia" w:cstheme="minorEastAsia"/>
                <w:szCs w:val="21"/>
              </w:rPr>
              <w:t>1.多媒体演示，了解银行业务以及会计凭证编制的流程；</w:t>
            </w:r>
          </w:p>
          <w:p w14:paraId="325A1C17">
            <w:pPr>
              <w:adjustRightInd w:val="0"/>
              <w:rPr>
                <w:rFonts w:asciiTheme="minorEastAsia" w:hAnsiTheme="minorEastAsia" w:cstheme="minorEastAsia"/>
                <w:szCs w:val="21"/>
              </w:rPr>
            </w:pPr>
            <w:r>
              <w:rPr>
                <w:rFonts w:hint="eastAsia" w:asciiTheme="minorEastAsia" w:hAnsiTheme="minorEastAsia" w:cstheme="minorEastAsia"/>
                <w:szCs w:val="21"/>
              </w:rPr>
              <w:t>2.通过实物或图片和案例展示，更加深刻的了解银行周转和会计凭证。</w:t>
            </w:r>
          </w:p>
          <w:p w14:paraId="1474CED8">
            <w:pPr>
              <w:pStyle w:val="2"/>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3.提高学生严谨负责的态度。</w:t>
            </w:r>
          </w:p>
        </w:tc>
        <w:tc>
          <w:tcPr>
            <w:tcW w:w="724" w:type="dxa"/>
            <w:vAlign w:val="center"/>
          </w:tcPr>
          <w:p w14:paraId="19EA446F">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r w14:paraId="0F9C8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6EC37D9">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44F1D79D">
            <w:pPr>
              <w:adjustRightInd w:val="0"/>
              <w:jc w:val="center"/>
              <w:rPr>
                <w:rFonts w:asciiTheme="minorEastAsia" w:hAnsiTheme="minorEastAsia" w:cstheme="minorEastAsia"/>
              </w:rPr>
            </w:pPr>
            <w:r>
              <w:rPr>
                <w:rFonts w:hint="eastAsia" w:ascii="仿宋_GB2312"/>
              </w:rPr>
              <w:t>日记账的编制</w:t>
            </w:r>
          </w:p>
        </w:tc>
        <w:tc>
          <w:tcPr>
            <w:tcW w:w="2544" w:type="dxa"/>
            <w:vAlign w:val="center"/>
          </w:tcPr>
          <w:p w14:paraId="18FBF670">
            <w:pPr>
              <w:adjustRightInd w:val="0"/>
              <w:ind w:firstLine="210" w:firstLineChars="100"/>
              <w:rPr>
                <w:rFonts w:asciiTheme="minorEastAsia" w:hAnsiTheme="minorEastAsia" w:cstheme="minorEastAsia"/>
                <w:szCs w:val="21"/>
              </w:rPr>
            </w:pPr>
            <w:r>
              <w:rPr>
                <w:rFonts w:hint="eastAsia" w:asciiTheme="minorEastAsia" w:hAnsiTheme="minorEastAsia" w:cstheme="minorEastAsia"/>
                <w:szCs w:val="21"/>
              </w:rPr>
              <w:t>掌握</w:t>
            </w:r>
            <w:r>
              <w:rPr>
                <w:rFonts w:hint="eastAsia" w:asciiTheme="minorEastAsia" w:hAnsiTheme="minorEastAsia" w:cstheme="minorEastAsia"/>
                <w:szCs w:val="21"/>
                <w:shd w:val="clear" w:color="auto" w:fill="FFFFFF"/>
              </w:rPr>
              <w:t>登记现金日记帐、银行日记帐、编制</w:t>
            </w:r>
            <w:r>
              <w:fldChar w:fldCharType="begin"/>
            </w:r>
            <w:r>
              <w:instrText xml:space="preserve"> HYPERLINK "https://baike.baidu.com/item/%E9%93%B6%E8%A1%8C%E4%BD%99%E9%A2%9D%E8%B0%83%E8%8A%82%E8%A1%A8/15923731" \t "https://baike.baidu.com/item/%E4%BC%9A%E8%AE%A1%E6%96%87%E5%91%98/_blank" </w:instrText>
            </w:r>
            <w:r>
              <w:fldChar w:fldCharType="separate"/>
            </w:r>
            <w:r>
              <w:rPr>
                <w:rStyle w:val="49"/>
                <w:rFonts w:hint="eastAsia" w:asciiTheme="minorEastAsia" w:hAnsiTheme="minorEastAsia" w:cstheme="minorEastAsia"/>
                <w:color w:val="auto"/>
                <w:szCs w:val="21"/>
                <w:u w:val="none"/>
                <w:shd w:val="clear" w:color="auto" w:fill="FFFFFF"/>
              </w:rPr>
              <w:t>银行余额调节表</w:t>
            </w:r>
            <w:r>
              <w:rPr>
                <w:rStyle w:val="49"/>
                <w:rFonts w:hint="eastAsia" w:asciiTheme="minorEastAsia" w:hAnsiTheme="minorEastAsia" w:cstheme="minorEastAsia"/>
                <w:color w:val="auto"/>
                <w:szCs w:val="21"/>
                <w:u w:val="none"/>
                <w:shd w:val="clear" w:color="auto" w:fill="FFFFFF"/>
              </w:rPr>
              <w:fldChar w:fldCharType="end"/>
            </w:r>
            <w:r>
              <w:rPr>
                <w:rFonts w:hint="eastAsia" w:asciiTheme="minorEastAsia" w:hAnsiTheme="minorEastAsia" w:cstheme="minorEastAsia"/>
                <w:szCs w:val="21"/>
                <w:shd w:val="clear" w:color="auto" w:fill="FFFFFF"/>
              </w:rPr>
              <w:t>。</w:t>
            </w:r>
          </w:p>
        </w:tc>
        <w:tc>
          <w:tcPr>
            <w:tcW w:w="3018" w:type="dxa"/>
            <w:vAlign w:val="center"/>
          </w:tcPr>
          <w:p w14:paraId="24C29FD8">
            <w:pPr>
              <w:adjustRightInd w:val="0"/>
              <w:rPr>
                <w:rFonts w:asciiTheme="minorEastAsia" w:hAnsiTheme="minorEastAsia" w:cstheme="minorEastAsia"/>
                <w:szCs w:val="21"/>
              </w:rPr>
            </w:pPr>
            <w:r>
              <w:rPr>
                <w:rFonts w:hint="eastAsia" w:asciiTheme="minorEastAsia" w:hAnsiTheme="minorEastAsia" w:cstheme="minorEastAsia"/>
                <w:szCs w:val="21"/>
              </w:rPr>
              <w:t>1.多媒体演示，了解日记账和余额调节表的基础知识；</w:t>
            </w:r>
          </w:p>
          <w:p w14:paraId="502E3C43">
            <w:pPr>
              <w:adjustRightInd w:val="0"/>
              <w:rPr>
                <w:rFonts w:asciiTheme="minorEastAsia" w:hAnsiTheme="minorEastAsia" w:cstheme="minorEastAsia"/>
                <w:szCs w:val="21"/>
              </w:rPr>
            </w:pPr>
            <w:r>
              <w:rPr>
                <w:rFonts w:hint="eastAsia" w:asciiTheme="minorEastAsia" w:hAnsiTheme="minorEastAsia" w:cstheme="minorEastAsia"/>
                <w:szCs w:val="21"/>
              </w:rPr>
              <w:t>2.通过实物或图片和案例展示，更加深刻的了解日记账和调节表的编制流程。</w:t>
            </w:r>
          </w:p>
          <w:p w14:paraId="1D2377EC">
            <w:pPr>
              <w:pStyle w:val="2"/>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3.加强学生的会计素养，培养细心严谨能力。</w:t>
            </w:r>
          </w:p>
        </w:tc>
        <w:tc>
          <w:tcPr>
            <w:tcW w:w="724" w:type="dxa"/>
            <w:vAlign w:val="center"/>
          </w:tcPr>
          <w:p w14:paraId="08F58C42">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10</w:t>
            </w:r>
          </w:p>
        </w:tc>
      </w:tr>
      <w:tr w14:paraId="107B0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953DBD0">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31DB88B7">
            <w:pPr>
              <w:adjustRightInd w:val="0"/>
              <w:jc w:val="center"/>
              <w:rPr>
                <w:rFonts w:asciiTheme="minorEastAsia" w:hAnsiTheme="minorEastAsia" w:cstheme="minorEastAsia"/>
              </w:rPr>
            </w:pPr>
            <w:r>
              <w:rPr>
                <w:rFonts w:hint="eastAsia" w:ascii="仿宋_GB2312"/>
              </w:rPr>
              <w:t>企业税务与人力资源</w:t>
            </w:r>
          </w:p>
        </w:tc>
        <w:tc>
          <w:tcPr>
            <w:tcW w:w="2544" w:type="dxa"/>
            <w:vAlign w:val="center"/>
          </w:tcPr>
          <w:p w14:paraId="0DD366EC">
            <w:pPr>
              <w:adjustRightInd w:val="0"/>
              <w:rPr>
                <w:rFonts w:asciiTheme="minorEastAsia" w:hAnsiTheme="minorEastAsia" w:cstheme="minorEastAsia"/>
                <w:szCs w:val="21"/>
              </w:rPr>
            </w:pPr>
            <w:r>
              <w:rPr>
                <w:rFonts w:hint="eastAsia" w:asciiTheme="minorEastAsia" w:hAnsiTheme="minorEastAsia" w:cstheme="minorEastAsia"/>
                <w:szCs w:val="21"/>
              </w:rPr>
              <w:t>1.掌握办理工商税务年审、企业变更、购买发票等业务。</w:t>
            </w:r>
          </w:p>
          <w:p w14:paraId="6850E4D7">
            <w:pPr>
              <w:pStyle w:val="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2.掌握人力资源考勤统计。</w:t>
            </w:r>
          </w:p>
        </w:tc>
        <w:tc>
          <w:tcPr>
            <w:tcW w:w="3018" w:type="dxa"/>
            <w:vAlign w:val="center"/>
          </w:tcPr>
          <w:p w14:paraId="139A2AEE">
            <w:pPr>
              <w:adjustRightInd w:val="0"/>
              <w:rPr>
                <w:rFonts w:asciiTheme="minorEastAsia" w:hAnsiTheme="minorEastAsia" w:cstheme="minorEastAsia"/>
                <w:szCs w:val="21"/>
              </w:rPr>
            </w:pPr>
            <w:r>
              <w:rPr>
                <w:rFonts w:hint="eastAsia" w:asciiTheme="minorEastAsia" w:hAnsiTheme="minorEastAsia" w:cstheme="minorEastAsia"/>
                <w:szCs w:val="21"/>
              </w:rPr>
              <w:t>1.多媒体演示，了解工商纳税申报、企业变更的流程；</w:t>
            </w:r>
          </w:p>
          <w:p w14:paraId="6ED1B1F0">
            <w:pPr>
              <w:adjustRightInd w:val="0"/>
              <w:rPr>
                <w:rFonts w:asciiTheme="minorEastAsia" w:hAnsiTheme="minorEastAsia" w:cstheme="minorEastAsia"/>
                <w:szCs w:val="21"/>
              </w:rPr>
            </w:pPr>
            <w:r>
              <w:rPr>
                <w:rFonts w:hint="eastAsia" w:asciiTheme="minorEastAsia" w:hAnsiTheme="minorEastAsia" w:cstheme="minorEastAsia"/>
                <w:szCs w:val="21"/>
              </w:rPr>
              <w:t>2.通过实物或图片和案例展示，更加深刻的了解人力资源考勤方式。</w:t>
            </w:r>
          </w:p>
          <w:p w14:paraId="10EB26C7">
            <w:pPr>
              <w:pStyle w:val="2"/>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3.加强学生爱岗敬业的态度</w:t>
            </w:r>
          </w:p>
        </w:tc>
        <w:tc>
          <w:tcPr>
            <w:tcW w:w="724" w:type="dxa"/>
            <w:vAlign w:val="center"/>
          </w:tcPr>
          <w:p w14:paraId="1C6DAD43">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739E0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AE5C3D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47C4D7B1">
            <w:pPr>
              <w:adjustRightInd w:val="0"/>
              <w:jc w:val="center"/>
              <w:rPr>
                <w:rFonts w:asciiTheme="minorEastAsia" w:hAnsiTheme="minorEastAsia" w:cstheme="minorEastAsia"/>
              </w:rPr>
            </w:pPr>
            <w:r>
              <w:rPr>
                <w:rFonts w:hint="eastAsia" w:ascii="仿宋_GB2312"/>
              </w:rPr>
              <w:t>档案保管</w:t>
            </w:r>
          </w:p>
        </w:tc>
        <w:tc>
          <w:tcPr>
            <w:tcW w:w="2544" w:type="dxa"/>
            <w:vAlign w:val="center"/>
          </w:tcPr>
          <w:p w14:paraId="2D6B8FA5">
            <w:pPr>
              <w:adjustRightInd w:val="0"/>
              <w:rPr>
                <w:rFonts w:asciiTheme="minorEastAsia" w:hAnsiTheme="minorEastAsia" w:cstheme="minorEastAsia"/>
                <w:szCs w:val="21"/>
              </w:rPr>
            </w:pPr>
            <w:r>
              <w:rPr>
                <w:rFonts w:hint="eastAsia" w:asciiTheme="minorEastAsia" w:hAnsiTheme="minorEastAsia" w:cstheme="minorEastAsia"/>
                <w:szCs w:val="21"/>
              </w:rPr>
              <w:t>掌握</w:t>
            </w:r>
            <w:r>
              <w:rPr>
                <w:rFonts w:hint="eastAsia" w:asciiTheme="minorEastAsia" w:hAnsiTheme="minorEastAsia" w:cstheme="minorEastAsia"/>
                <w:szCs w:val="21"/>
                <w:shd w:val="clear" w:color="auto" w:fill="FFFFFF"/>
              </w:rPr>
              <w:t>按期装订管帐凭据、帐本、表册等,妥帖保管以及存档昔时管帐档案件的内容提要管帐员保管,昔年管帐档案件的内容提要档案室保管。</w:t>
            </w:r>
          </w:p>
        </w:tc>
        <w:tc>
          <w:tcPr>
            <w:tcW w:w="3018" w:type="dxa"/>
            <w:vAlign w:val="center"/>
          </w:tcPr>
          <w:p w14:paraId="4F52D164">
            <w:pPr>
              <w:adjustRightInd w:val="0"/>
              <w:rPr>
                <w:rFonts w:asciiTheme="minorEastAsia" w:hAnsiTheme="minorEastAsia" w:cstheme="minorEastAsia"/>
                <w:szCs w:val="21"/>
              </w:rPr>
            </w:pPr>
            <w:r>
              <w:rPr>
                <w:rFonts w:hint="eastAsia" w:asciiTheme="minorEastAsia" w:hAnsiTheme="minorEastAsia" w:cstheme="minorEastAsia"/>
                <w:szCs w:val="21"/>
              </w:rPr>
              <w:t>1.多媒体演示，了解企业按期装订凭证的流程；</w:t>
            </w:r>
          </w:p>
          <w:p w14:paraId="37F9F297">
            <w:pPr>
              <w:adjustRightInd w:val="0"/>
              <w:rPr>
                <w:rFonts w:asciiTheme="minorEastAsia" w:hAnsiTheme="minorEastAsia" w:cstheme="minorEastAsia"/>
                <w:szCs w:val="21"/>
              </w:rPr>
            </w:pPr>
            <w:r>
              <w:rPr>
                <w:rFonts w:hint="eastAsia" w:asciiTheme="minorEastAsia" w:hAnsiTheme="minorEastAsia" w:cstheme="minorEastAsia"/>
                <w:szCs w:val="21"/>
              </w:rPr>
              <w:t>2.通过实物或图片和案例展示，更加深刻的了解保管凭证。</w:t>
            </w:r>
          </w:p>
          <w:p w14:paraId="4ACF66A0">
            <w:pPr>
              <w:pStyle w:val="2"/>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3.让学生获得会计技能的提高，以及专业素养的加强。</w:t>
            </w:r>
          </w:p>
        </w:tc>
        <w:tc>
          <w:tcPr>
            <w:tcW w:w="724" w:type="dxa"/>
            <w:vAlign w:val="center"/>
          </w:tcPr>
          <w:p w14:paraId="3DECD433">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bl>
    <w:p w14:paraId="7C0B3AEC">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2FCCBE24">
      <w:pPr>
        <w:pStyle w:val="17"/>
        <w:spacing w:after="0" w:line="400" w:lineRule="exact"/>
        <w:ind w:firstLine="480" w:firstLineChars="200"/>
        <w:rPr>
          <w:sz w:val="24"/>
          <w:szCs w:val="24"/>
        </w:rPr>
      </w:pPr>
      <w:r>
        <w:rPr>
          <w:rFonts w:hint="eastAsia"/>
          <w:sz w:val="24"/>
          <w:szCs w:val="24"/>
        </w:rPr>
        <w:t>1.教学方法</w:t>
      </w:r>
    </w:p>
    <w:p w14:paraId="1640A68A">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4EC14A4C">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66457914">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7DAD2B25">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07CDD8A7">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794B0036">
      <w:pPr>
        <w:pStyle w:val="17"/>
        <w:spacing w:after="0" w:line="400" w:lineRule="exact"/>
        <w:ind w:firstLine="480" w:firstLineChars="200"/>
        <w:rPr>
          <w:sz w:val="24"/>
          <w:szCs w:val="24"/>
        </w:rPr>
      </w:pPr>
      <w:r>
        <w:rPr>
          <w:rFonts w:hint="eastAsia"/>
          <w:sz w:val="24"/>
          <w:szCs w:val="24"/>
        </w:rPr>
        <w:t>2.评价方法</w:t>
      </w:r>
    </w:p>
    <w:p w14:paraId="23BF73B3">
      <w:pPr>
        <w:pStyle w:val="17"/>
        <w:spacing w:after="0" w:line="400" w:lineRule="exact"/>
        <w:ind w:firstLine="480" w:firstLineChars="200"/>
        <w:rPr>
          <w:bCs/>
          <w:sz w:val="24"/>
          <w:szCs w:val="24"/>
        </w:rPr>
      </w:pPr>
      <w:r>
        <w:rPr>
          <w:rFonts w:hint="eastAsia"/>
          <w:bCs/>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30AA706C">
      <w:pPr>
        <w:pStyle w:val="17"/>
        <w:spacing w:after="0" w:line="400" w:lineRule="exact"/>
        <w:ind w:firstLine="480" w:firstLineChars="200"/>
        <w:rPr>
          <w:bCs/>
          <w:sz w:val="24"/>
          <w:szCs w:val="24"/>
        </w:rPr>
      </w:pPr>
      <w:r>
        <w:rPr>
          <w:rFonts w:hint="eastAsia"/>
          <w:bCs/>
          <w:sz w:val="24"/>
          <w:szCs w:val="24"/>
        </w:rPr>
        <w:t>课程成绩形成方式建议: 总评成绩= 平时成绩*30%+期中成绩*30%+期末成*40%。</w:t>
      </w:r>
    </w:p>
    <w:p w14:paraId="35B0E5C0">
      <w:pPr>
        <w:pStyle w:val="17"/>
        <w:spacing w:after="0" w:line="400" w:lineRule="exact"/>
        <w:ind w:firstLine="480" w:firstLineChars="200"/>
        <w:rPr>
          <w:sz w:val="24"/>
          <w:szCs w:val="24"/>
        </w:rPr>
      </w:pPr>
      <w:r>
        <w:rPr>
          <w:rFonts w:hint="eastAsia"/>
          <w:sz w:val="24"/>
          <w:szCs w:val="24"/>
        </w:rPr>
        <w:t>3.教学条件</w:t>
      </w:r>
    </w:p>
    <w:p w14:paraId="01E3905F">
      <w:pPr>
        <w:pStyle w:val="17"/>
        <w:spacing w:after="0" w:line="400" w:lineRule="exact"/>
        <w:ind w:firstLine="480" w:firstLineChars="200"/>
        <w:rPr>
          <w:bCs/>
          <w:sz w:val="24"/>
          <w:szCs w:val="24"/>
        </w:rPr>
      </w:pPr>
      <w:r>
        <w:rPr>
          <w:rFonts w:hint="eastAsia"/>
          <w:bCs/>
          <w:sz w:val="24"/>
          <w:szCs w:val="24"/>
        </w:rPr>
        <w:t>本课程需要满足必要的教学条件，主要包括课程教学条件和实践教学条件两方面。必要的课堂教学条件是指具备本专业或相近专业本科及以上学历，具有扎实的会计文员理论功底和一定的会计文员岗位经历，熟悉税法的相关规定，能够指导学生进行企业岗位业务的示范教学。必要的实践教学条件是指配备装有会计文员模拟实训系统的机房，拥有足够数量的实训资料。</w:t>
      </w:r>
    </w:p>
    <w:p w14:paraId="2C6154FF">
      <w:pPr>
        <w:pStyle w:val="17"/>
        <w:spacing w:after="0" w:line="400" w:lineRule="exact"/>
        <w:ind w:firstLine="480" w:firstLineChars="200"/>
        <w:rPr>
          <w:bCs/>
          <w:sz w:val="24"/>
          <w:szCs w:val="24"/>
        </w:rPr>
      </w:pPr>
      <w:r>
        <w:rPr>
          <w:rFonts w:hint="eastAsia"/>
          <w:bCs/>
          <w:sz w:val="24"/>
          <w:szCs w:val="24"/>
        </w:rPr>
        <w:t>4.教材编选</w:t>
      </w:r>
    </w:p>
    <w:p w14:paraId="1CD42DFB">
      <w:pPr>
        <w:pStyle w:val="17"/>
        <w:spacing w:after="0" w:line="400" w:lineRule="exact"/>
        <w:ind w:firstLine="480" w:firstLineChars="200"/>
        <w:rPr>
          <w:bCs/>
          <w:sz w:val="24"/>
          <w:szCs w:val="24"/>
        </w:rPr>
      </w:pPr>
      <w:r>
        <w:rPr>
          <w:rFonts w:hint="eastAsia"/>
          <w:bCs/>
          <w:sz w:val="24"/>
          <w:szCs w:val="24"/>
        </w:rPr>
        <w:t>（1）教材选用</w:t>
      </w:r>
    </w:p>
    <w:p w14:paraId="58B1BB80">
      <w:pPr>
        <w:pStyle w:val="17"/>
        <w:spacing w:after="0" w:line="400" w:lineRule="exact"/>
        <w:ind w:firstLine="480" w:firstLineChars="200"/>
        <w:rPr>
          <w:bCs/>
          <w:sz w:val="24"/>
          <w:szCs w:val="24"/>
        </w:rPr>
      </w:pPr>
      <w:r>
        <w:rPr>
          <w:rFonts w:hint="eastAsia"/>
          <w:bCs/>
          <w:sz w:val="24"/>
          <w:szCs w:val="24"/>
        </w:rPr>
        <w:t>教材应依据本课程标准编写教材编写应以本课程标准为依据，合理安排教材内容。教材编写过程中应注意理论与实际相结合，做到学做合一，理实一体，内容和形式要有利于学生的全面发展和长远发展。教材应该尽可能采用启发式、发现式的学习方式，促使学生拓展思维，开阔视野，培养创新精神和实践能力。教材应配有实践内容或配套实训教材。</w:t>
      </w:r>
    </w:p>
    <w:p w14:paraId="094D6F1B">
      <w:pPr>
        <w:pStyle w:val="17"/>
        <w:spacing w:after="0" w:line="400" w:lineRule="exact"/>
        <w:ind w:firstLine="480" w:firstLineChars="200"/>
        <w:rPr>
          <w:bCs/>
          <w:sz w:val="24"/>
          <w:szCs w:val="24"/>
        </w:rPr>
      </w:pPr>
      <w:r>
        <w:rPr>
          <w:rFonts w:hint="eastAsia"/>
          <w:bCs/>
          <w:sz w:val="24"/>
          <w:szCs w:val="24"/>
        </w:rPr>
        <w:t>教师要善于结合实际教学需要，灵活地和有创造性地使用教材，对教材的内容、编排顺序、教学方法等方面进行适当的取舍或调整。教材使用一段时间以后，应该及时对使用情况进行总结分析，思考一下教材的使用是否达到了预先制订的教学目标；是否有利于提高教学效果；应该在哪些方面做进一步的调整；是否继续使用该教材等。</w:t>
      </w:r>
    </w:p>
    <w:p w14:paraId="6AAFDFCF">
      <w:pPr>
        <w:pStyle w:val="17"/>
        <w:spacing w:after="0" w:line="400" w:lineRule="exact"/>
        <w:ind w:firstLine="480" w:firstLineChars="200"/>
        <w:rPr>
          <w:bCs/>
          <w:sz w:val="24"/>
          <w:szCs w:val="24"/>
        </w:rPr>
      </w:pPr>
      <w:r>
        <w:rPr>
          <w:rFonts w:hint="eastAsia"/>
          <w:bCs/>
          <w:sz w:val="24"/>
          <w:szCs w:val="24"/>
        </w:rPr>
        <w:t>（2）教学资源的开发</w:t>
      </w:r>
    </w:p>
    <w:p w14:paraId="4273CDCF">
      <w:pPr>
        <w:pStyle w:val="17"/>
        <w:spacing w:after="0" w:line="400" w:lineRule="exact"/>
        <w:ind w:firstLine="480" w:firstLineChars="200"/>
        <w:rPr>
          <w:bCs/>
          <w:sz w:val="24"/>
          <w:szCs w:val="24"/>
        </w:rPr>
      </w:pPr>
      <w:r>
        <w:rPr>
          <w:rFonts w:hint="eastAsia"/>
          <w:bCs/>
          <w:sz w:val="24"/>
          <w:szCs w:val="24"/>
        </w:rPr>
        <w:t>在教学中，除了合理有效地使用教科书以外，还应该积极利用其他课程资源，注重实训教辅资料的开发利用。利用现代信息技术，开发制作各种形式的教学课件，具体包括：视听光盘、多媒体软件、幻灯片、挂图等，创设形象生动的工作情景，激发学生学习兴趣，促进学生对财务管理业务操作处理方法的理解、掌握和运用。</w:t>
      </w:r>
    </w:p>
    <w:p w14:paraId="70172CE3">
      <w:pPr>
        <w:pStyle w:val="17"/>
        <w:spacing w:after="0" w:line="400" w:lineRule="exact"/>
        <w:ind w:firstLine="480" w:firstLineChars="200"/>
        <w:rPr>
          <w:bCs/>
          <w:sz w:val="24"/>
          <w:szCs w:val="24"/>
        </w:rPr>
      </w:pPr>
      <w:r>
        <w:rPr>
          <w:rFonts w:hint="eastAsia"/>
          <w:bCs/>
          <w:sz w:val="24"/>
          <w:szCs w:val="24"/>
        </w:rPr>
        <w:t>注重网络课程资源开发和利用。充分利用诸如电子书籍、电子期刊、数据库、数字图书馆、教育网站和电子论坛等网上信息资源，丰富教学内涵。积极开发课程网站，与科技部门共同开发课程配套的教学实训系统软件，创设网络课堂，提供实训在线操作，突破教学空间和时间的局限性，使教学过程多样化、丰富教学活动。</w:t>
      </w:r>
    </w:p>
    <w:p w14:paraId="0F495CAC">
      <w:pPr>
        <w:pStyle w:val="17"/>
        <w:spacing w:line="360" w:lineRule="auto"/>
        <w:jc w:val="center"/>
        <w:rPr>
          <w:rFonts w:ascii="黑体" w:hAnsi="黑体" w:eastAsia="黑体"/>
          <w:sz w:val="28"/>
          <w:szCs w:val="28"/>
        </w:rPr>
      </w:pPr>
    </w:p>
    <w:p w14:paraId="3917892F">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033E5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0B819B5A">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38B4168C">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741C9D0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691B302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08BEC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7A93E94E">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14DB45D7">
            <w:pPr>
              <w:adjustRightInd w:val="0"/>
              <w:rPr>
                <w:rFonts w:asciiTheme="minorEastAsia" w:hAnsiTheme="minorEastAsia" w:cstheme="minorEastAsia"/>
                <w:snapToGrid w:val="0"/>
                <w:color w:val="000000"/>
                <w:spacing w:val="7"/>
                <w:lang w:eastAsia="en-US"/>
              </w:rPr>
            </w:pPr>
            <w:r>
              <w:rPr>
                <w:rFonts w:hint="eastAsia"/>
                <w:snapToGrid w:val="0"/>
                <w:color w:val="000000"/>
                <w:sz w:val="20"/>
                <w:szCs w:val="20"/>
                <w:shd w:val="clear" w:color="auto" w:fill="FFFFFF"/>
                <w:lang w:eastAsia="en-US"/>
              </w:rPr>
              <w:t>公司日常办公事务，处理来往电话、函件；</w:t>
            </w:r>
          </w:p>
        </w:tc>
        <w:tc>
          <w:tcPr>
            <w:tcW w:w="1980" w:type="dxa"/>
            <w:tcMar>
              <w:top w:w="0" w:type="dxa"/>
              <w:left w:w="108" w:type="dxa"/>
              <w:bottom w:w="0" w:type="dxa"/>
              <w:right w:w="108" w:type="dxa"/>
            </w:tcMar>
            <w:vAlign w:val="center"/>
          </w:tcPr>
          <w:p w14:paraId="3437719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7DF4561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122AA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60937537">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74E57CB6">
            <w:pPr>
              <w:pStyle w:val="2"/>
              <w:ind w:firstLine="400"/>
              <w:rPr>
                <w:rFonts w:ascii="宋体" w:hAnsi="宋体"/>
                <w:snapToGrid w:val="0"/>
                <w:color w:val="000000"/>
                <w:sz w:val="20"/>
                <w:szCs w:val="20"/>
                <w:shd w:val="clear" w:color="auto" w:fill="FFFFFF"/>
                <w:lang w:eastAsia="en-US"/>
              </w:rPr>
            </w:pPr>
            <w:r>
              <w:rPr>
                <w:rFonts w:hint="eastAsia" w:ascii="宋体" w:hAnsi="宋体"/>
                <w:snapToGrid w:val="0"/>
                <w:color w:val="000000"/>
                <w:sz w:val="20"/>
                <w:szCs w:val="20"/>
                <w:shd w:val="clear" w:color="auto" w:fill="FFFFFF"/>
                <w:lang w:eastAsia="en-US"/>
              </w:rPr>
              <w:t>日常政务接待、来访客人接待；公司上层文件的传达。</w:t>
            </w:r>
          </w:p>
          <w:p w14:paraId="25BF1297">
            <w:pPr>
              <w:adjustRightInd w:val="0"/>
              <w:rPr>
                <w:snapToGrid w:val="0"/>
                <w:color w:val="000000"/>
                <w:sz w:val="20"/>
                <w:szCs w:val="20"/>
                <w:shd w:val="clear" w:color="auto" w:fill="FFFFFF"/>
                <w:lang w:eastAsia="en-US"/>
              </w:rPr>
            </w:pPr>
            <w:r>
              <w:rPr>
                <w:rFonts w:hint="eastAsia"/>
                <w:snapToGrid w:val="0"/>
                <w:color w:val="000000"/>
                <w:sz w:val="20"/>
                <w:szCs w:val="20"/>
                <w:lang w:eastAsia="en-US"/>
              </w:rPr>
              <w:t>日常的财务开支和银行周转业务，银行对账。</w:t>
            </w:r>
          </w:p>
        </w:tc>
        <w:tc>
          <w:tcPr>
            <w:tcW w:w="1980" w:type="dxa"/>
            <w:tcMar>
              <w:top w:w="0" w:type="dxa"/>
              <w:left w:w="108" w:type="dxa"/>
              <w:bottom w:w="0" w:type="dxa"/>
              <w:right w:w="108" w:type="dxa"/>
            </w:tcMar>
            <w:vAlign w:val="center"/>
          </w:tcPr>
          <w:p w14:paraId="6D6CD77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3527352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376CC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63AB1DB">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3E45100D">
            <w:pPr>
              <w:adjustRightInd w:val="0"/>
              <w:rPr>
                <w:rFonts w:asciiTheme="minorEastAsia" w:hAnsiTheme="minorEastAsia" w:cstheme="minorEastAsia"/>
                <w:snapToGrid w:val="0"/>
                <w:color w:val="000000"/>
                <w:spacing w:val="7"/>
                <w:lang w:eastAsia="en-US"/>
              </w:rPr>
            </w:pPr>
            <w:r>
              <w:rPr>
                <w:rFonts w:hint="eastAsia"/>
                <w:snapToGrid w:val="0"/>
                <w:color w:val="000000"/>
                <w:sz w:val="20"/>
                <w:szCs w:val="20"/>
                <w:lang w:eastAsia="en-US"/>
              </w:rPr>
              <w:t>日常的财务开支和银行周转业务，银行对账。</w:t>
            </w:r>
          </w:p>
        </w:tc>
        <w:tc>
          <w:tcPr>
            <w:tcW w:w="1980" w:type="dxa"/>
            <w:tcMar>
              <w:top w:w="0" w:type="dxa"/>
              <w:left w:w="108" w:type="dxa"/>
              <w:bottom w:w="0" w:type="dxa"/>
              <w:right w:w="108" w:type="dxa"/>
            </w:tcMar>
            <w:vAlign w:val="center"/>
          </w:tcPr>
          <w:p w14:paraId="33AE18E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74496F3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0DAC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E06D44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6C029580">
            <w:pPr>
              <w:pStyle w:val="2"/>
              <w:ind w:firstLine="400"/>
              <w:rPr>
                <w:rFonts w:ascii="宋体" w:hAnsi="宋体"/>
                <w:snapToGrid w:val="0"/>
                <w:color w:val="000000"/>
                <w:sz w:val="20"/>
                <w:szCs w:val="20"/>
                <w:shd w:val="clear" w:color="auto" w:fill="FFFFFF"/>
                <w:lang w:eastAsia="en-US"/>
              </w:rPr>
            </w:pPr>
            <w:r>
              <w:rPr>
                <w:rFonts w:hint="eastAsia" w:ascii="宋体" w:hAnsi="宋体"/>
                <w:snapToGrid w:val="0"/>
                <w:color w:val="000000"/>
                <w:sz w:val="20"/>
                <w:szCs w:val="20"/>
                <w:shd w:val="clear" w:color="auto" w:fill="FFFFFF"/>
                <w:lang w:eastAsia="en-US"/>
              </w:rPr>
              <w:t>编制现金凭证，填制相关报表并交上级审核，确保现金与报表相符。</w:t>
            </w:r>
          </w:p>
          <w:p w14:paraId="785F05A9">
            <w:pPr>
              <w:pStyle w:val="2"/>
              <w:ind w:firstLine="400"/>
              <w:rPr>
                <w:rFonts w:eastAsiaTheme="minorEastAsia" w:cstheme="minorEastAsia"/>
                <w:snapToGrid w:val="0"/>
                <w:color w:val="000000"/>
                <w:spacing w:val="7"/>
                <w:lang w:eastAsia="en-US"/>
              </w:rPr>
            </w:pPr>
            <w:r>
              <w:rPr>
                <w:rFonts w:hint="eastAsia" w:ascii="宋体" w:hAnsi="宋体"/>
                <w:snapToGrid w:val="0"/>
                <w:color w:val="000000"/>
                <w:sz w:val="20"/>
                <w:szCs w:val="20"/>
                <w:shd w:val="clear" w:color="auto" w:fill="FFFFFF"/>
                <w:lang w:eastAsia="en-US"/>
              </w:rPr>
              <w:t>登记现金日记帐、银行日记帐、编制</w:t>
            </w:r>
            <w:r>
              <w:rPr>
                <w:snapToGrid w:val="0"/>
                <w:color w:val="000000"/>
              </w:rPr>
              <w:fldChar w:fldCharType="begin"/>
            </w:r>
            <w:r>
              <w:rPr>
                <w:snapToGrid w:val="0"/>
                <w:color w:val="000000"/>
              </w:rPr>
              <w:instrText xml:space="preserve"> HYPERLINK "https://baike.baidu.com/item/%E9%93%B6%E8%A1%8C%E4%BD%99%E9%A2%9D%E8%B0%83%E8%8A%82%E8%A1%A8/15923731" \t "https://baike.baidu.com/item/%E4%BC%9A%E8%AE%A1%E6%96%87%E5%91%98/_blank" </w:instrText>
            </w:r>
            <w:r>
              <w:rPr>
                <w:snapToGrid w:val="0"/>
                <w:color w:val="000000"/>
              </w:rPr>
              <w:fldChar w:fldCharType="separate"/>
            </w:r>
            <w:r>
              <w:rPr>
                <w:rStyle w:val="49"/>
                <w:rFonts w:hint="eastAsia" w:ascii="宋体" w:hAnsi="宋体"/>
                <w:snapToGrid w:val="0"/>
                <w:color w:val="auto"/>
                <w:sz w:val="20"/>
                <w:szCs w:val="20"/>
                <w:u w:val="none"/>
                <w:shd w:val="clear" w:color="auto" w:fill="FFFFFF"/>
                <w:lang w:eastAsia="en-US"/>
              </w:rPr>
              <w:t>银行余额调节表</w:t>
            </w:r>
            <w:r>
              <w:rPr>
                <w:rStyle w:val="49"/>
                <w:rFonts w:hint="eastAsia" w:ascii="宋体" w:hAnsi="宋体"/>
                <w:snapToGrid w:val="0"/>
                <w:color w:val="auto"/>
                <w:sz w:val="20"/>
                <w:szCs w:val="20"/>
                <w:u w:val="none"/>
                <w:shd w:val="clear" w:color="auto" w:fill="FFFFFF"/>
                <w:lang w:eastAsia="en-US"/>
              </w:rPr>
              <w:fldChar w:fldCharType="end"/>
            </w:r>
            <w:r>
              <w:rPr>
                <w:rFonts w:hint="eastAsia" w:ascii="宋体" w:hAnsi="宋体"/>
                <w:snapToGrid w:val="0"/>
                <w:color w:val="000000"/>
                <w:sz w:val="20"/>
                <w:szCs w:val="20"/>
                <w:shd w:val="clear" w:color="auto" w:fill="FFFFFF"/>
                <w:lang w:eastAsia="en-US"/>
              </w:rPr>
              <w:t>。</w:t>
            </w:r>
          </w:p>
        </w:tc>
        <w:tc>
          <w:tcPr>
            <w:tcW w:w="1980" w:type="dxa"/>
            <w:tcMar>
              <w:top w:w="0" w:type="dxa"/>
              <w:left w:w="108" w:type="dxa"/>
              <w:bottom w:w="0" w:type="dxa"/>
              <w:right w:w="108" w:type="dxa"/>
            </w:tcMar>
            <w:vAlign w:val="center"/>
          </w:tcPr>
          <w:p w14:paraId="52AF351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2DA3DF2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2E5A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01342D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0F390ED5">
            <w:pPr>
              <w:adjustRightInd w:val="0"/>
              <w:rPr>
                <w:rFonts w:asciiTheme="minorEastAsia" w:hAnsiTheme="minorEastAsia" w:cstheme="minorEastAsia"/>
                <w:snapToGrid w:val="0"/>
                <w:color w:val="000000"/>
                <w:spacing w:val="7"/>
                <w:lang w:eastAsia="en-US"/>
              </w:rPr>
            </w:pPr>
            <w:r>
              <w:rPr>
                <w:rFonts w:hint="eastAsia"/>
                <w:snapToGrid w:val="0"/>
                <w:color w:val="000000"/>
                <w:sz w:val="20"/>
                <w:szCs w:val="20"/>
                <w:shd w:val="clear" w:color="auto" w:fill="FFFFFF"/>
                <w:lang w:eastAsia="en-US"/>
              </w:rPr>
              <w:t>登记现金日记帐、银行日记帐、编制</w:t>
            </w:r>
            <w:r>
              <w:rPr>
                <w:snapToGrid w:val="0"/>
                <w:color w:val="000000"/>
                <w:lang w:eastAsia="en-US"/>
              </w:rPr>
              <w:fldChar w:fldCharType="begin"/>
            </w:r>
            <w:r>
              <w:rPr>
                <w:snapToGrid w:val="0"/>
                <w:color w:val="000000"/>
                <w:lang w:eastAsia="en-US"/>
              </w:rPr>
              <w:instrText xml:space="preserve">HYPERLINK "https://baike.baidu.com/item/%E9%93%B6%E8%A1%8C%E4%BD%99%E9%A2%9D%E8%B0%83%E8%8A%82%E8%A1%A8/15923731" \t "https://baike.baidu.com/item/%E4%BC%9A%E8%AE%A1%E6%96%87%E5%91%98/_blank"</w:instrText>
            </w:r>
            <w:r>
              <w:rPr>
                <w:snapToGrid w:val="0"/>
                <w:color w:val="000000"/>
                <w:lang w:eastAsia="en-US"/>
              </w:rPr>
              <w:fldChar w:fldCharType="separate"/>
            </w:r>
            <w:r>
              <w:rPr>
                <w:rStyle w:val="49"/>
                <w:rFonts w:hint="eastAsia"/>
                <w:snapToGrid w:val="0"/>
                <w:color w:val="auto"/>
                <w:sz w:val="20"/>
                <w:szCs w:val="20"/>
                <w:u w:val="none"/>
                <w:shd w:val="clear" w:color="auto" w:fill="FFFFFF"/>
                <w:lang w:eastAsia="en-US"/>
              </w:rPr>
              <w:t>银行余额调节表</w:t>
            </w:r>
            <w:r>
              <w:rPr>
                <w:rStyle w:val="49"/>
                <w:snapToGrid w:val="0"/>
                <w:color w:val="auto"/>
                <w:sz w:val="20"/>
                <w:szCs w:val="20"/>
                <w:u w:val="none"/>
                <w:shd w:val="clear" w:color="auto" w:fill="FFFFFF"/>
                <w:lang w:eastAsia="en-US"/>
              </w:rPr>
              <w:fldChar w:fldCharType="end"/>
            </w:r>
            <w:r>
              <w:rPr>
                <w:rFonts w:hint="eastAsia"/>
                <w:snapToGrid w:val="0"/>
                <w:color w:val="000000"/>
                <w:sz w:val="20"/>
                <w:szCs w:val="20"/>
                <w:shd w:val="clear" w:color="auto" w:fill="FFFFFF"/>
                <w:lang w:eastAsia="en-US"/>
              </w:rPr>
              <w:t>。</w:t>
            </w:r>
          </w:p>
        </w:tc>
        <w:tc>
          <w:tcPr>
            <w:tcW w:w="1980" w:type="dxa"/>
            <w:tcMar>
              <w:top w:w="0" w:type="dxa"/>
              <w:left w:w="108" w:type="dxa"/>
              <w:bottom w:w="0" w:type="dxa"/>
              <w:right w:w="108" w:type="dxa"/>
            </w:tcMar>
            <w:vAlign w:val="center"/>
          </w:tcPr>
          <w:p w14:paraId="3CCE112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01937D2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16561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CAD46D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1E42A040">
            <w:pPr>
              <w:pStyle w:val="178"/>
              <w:spacing w:line="360" w:lineRule="exact"/>
              <w:rPr>
                <w:rFonts w:asciiTheme="minorEastAsia" w:hAnsiTheme="minorEastAsia" w:eastAsiaTheme="minorEastAsia" w:cstheme="minorEastAsia"/>
                <w:spacing w:val="7"/>
                <w:lang w:eastAsia="en-US"/>
              </w:rPr>
            </w:pPr>
            <w:r>
              <w:rPr>
                <w:rFonts w:hint="eastAsia" w:ascii="宋体" w:hAnsi="宋体" w:eastAsia="宋体" w:cs="宋体"/>
                <w:sz w:val="20"/>
                <w:szCs w:val="20"/>
                <w:shd w:val="clear" w:color="auto" w:fill="FFFFFF"/>
                <w:lang w:eastAsia="en-US"/>
              </w:rPr>
              <w:t>登记现金日记帐、银行日记帐、编制</w:t>
            </w:r>
            <w:r>
              <w:rPr>
                <w:lang w:eastAsia="en-US"/>
              </w:rPr>
              <w:fldChar w:fldCharType="begin"/>
            </w:r>
            <w:r>
              <w:rPr>
                <w:lang w:eastAsia="en-US"/>
              </w:rPr>
              <w:instrText xml:space="preserve">HYPERLINK "https://baike.baidu.com/item/%E9%93%B6%E8%A1%8C%E4%BD%99%E9%A2%9D%E8%B0%83%E8%8A%82%E8%A1%A8/15923731" \t "https://baike.baidu.com/item/%E4%BC%9A%E8%AE%A1%E6%96%87%E5%91%98/_blank"</w:instrText>
            </w:r>
            <w:r>
              <w:rPr>
                <w:lang w:eastAsia="en-US"/>
              </w:rPr>
              <w:fldChar w:fldCharType="separate"/>
            </w:r>
            <w:r>
              <w:rPr>
                <w:rStyle w:val="49"/>
                <w:rFonts w:hint="eastAsia" w:ascii="宋体" w:hAnsi="宋体" w:eastAsia="宋体" w:cs="宋体"/>
                <w:color w:val="auto"/>
                <w:sz w:val="20"/>
                <w:szCs w:val="20"/>
                <w:u w:val="none"/>
                <w:shd w:val="clear" w:color="auto" w:fill="FFFFFF"/>
                <w:lang w:eastAsia="en-US"/>
              </w:rPr>
              <w:t>银行余额调节表</w:t>
            </w:r>
            <w:r>
              <w:rPr>
                <w:rStyle w:val="49"/>
                <w:rFonts w:ascii="宋体" w:hAnsi="宋体" w:eastAsia="宋体" w:cs="宋体"/>
                <w:color w:val="auto"/>
                <w:sz w:val="20"/>
                <w:szCs w:val="20"/>
                <w:u w:val="none"/>
                <w:shd w:val="clear" w:color="auto" w:fill="FFFFFF"/>
                <w:lang w:eastAsia="en-US"/>
              </w:rPr>
              <w:fldChar w:fldCharType="end"/>
            </w:r>
            <w:r>
              <w:rPr>
                <w:rFonts w:hint="eastAsia" w:ascii="宋体" w:hAnsi="宋体" w:eastAsia="宋体" w:cs="宋体"/>
                <w:sz w:val="20"/>
                <w:szCs w:val="20"/>
                <w:shd w:val="clear" w:color="auto" w:fill="FFFFFF"/>
                <w:lang w:eastAsia="en-US"/>
              </w:rPr>
              <w:t>。</w:t>
            </w:r>
          </w:p>
        </w:tc>
        <w:tc>
          <w:tcPr>
            <w:tcW w:w="1980" w:type="dxa"/>
            <w:tcMar>
              <w:top w:w="0" w:type="dxa"/>
              <w:left w:w="108" w:type="dxa"/>
              <w:bottom w:w="0" w:type="dxa"/>
              <w:right w:w="108" w:type="dxa"/>
            </w:tcMar>
            <w:vAlign w:val="center"/>
          </w:tcPr>
          <w:p w14:paraId="4AD51EB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17847F3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3CEC6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7BD326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6CC33A7B">
            <w:pPr>
              <w:adjustRightInd w:val="0"/>
              <w:rPr>
                <w:rFonts w:asciiTheme="minorEastAsia" w:hAnsiTheme="minorEastAsia" w:cstheme="minorEastAsia"/>
                <w:snapToGrid w:val="0"/>
                <w:color w:val="000000"/>
                <w:spacing w:val="7"/>
                <w:lang w:eastAsia="en-US"/>
              </w:rPr>
            </w:pPr>
            <w:r>
              <w:rPr>
                <w:rFonts w:hint="eastAsia"/>
                <w:snapToGrid w:val="0"/>
                <w:color w:val="000000"/>
                <w:sz w:val="20"/>
                <w:szCs w:val="20"/>
                <w:lang w:eastAsia="en-US"/>
              </w:rPr>
              <w:t>工商税务年审、企业变更、购买发票等业务。</w:t>
            </w:r>
          </w:p>
        </w:tc>
        <w:tc>
          <w:tcPr>
            <w:tcW w:w="1980" w:type="dxa"/>
            <w:tcMar>
              <w:top w:w="0" w:type="dxa"/>
              <w:left w:w="108" w:type="dxa"/>
              <w:bottom w:w="0" w:type="dxa"/>
              <w:right w:w="108" w:type="dxa"/>
            </w:tcMar>
            <w:vAlign w:val="center"/>
          </w:tcPr>
          <w:p w14:paraId="58FC23C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3B1F6E5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0B06B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61" w:type="dxa"/>
            <w:tcMar>
              <w:top w:w="0" w:type="dxa"/>
              <w:left w:w="108" w:type="dxa"/>
              <w:bottom w:w="0" w:type="dxa"/>
              <w:right w:w="108" w:type="dxa"/>
            </w:tcMar>
            <w:vAlign w:val="center"/>
          </w:tcPr>
          <w:p w14:paraId="21CE8B9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6A161393">
            <w:pPr>
              <w:pStyle w:val="178"/>
              <w:spacing w:line="360" w:lineRule="exact"/>
              <w:rPr>
                <w:rFonts w:ascii="仿宋_GB2312" w:hAnsi="宋体"/>
                <w:lang w:eastAsia="en-US"/>
              </w:rPr>
            </w:pPr>
            <w:r>
              <w:rPr>
                <w:rFonts w:hint="eastAsia" w:ascii="宋体" w:hAnsi="宋体" w:cs="宋体"/>
                <w:szCs w:val="20"/>
                <w:shd w:val="clear" w:color="auto" w:fill="FFFFFF"/>
                <w:lang w:eastAsia="en-US"/>
              </w:rPr>
              <w:t>人力资源考勤统计。</w:t>
            </w:r>
          </w:p>
          <w:p w14:paraId="24BF0A08">
            <w:pPr>
              <w:pStyle w:val="178"/>
              <w:spacing w:line="360" w:lineRule="exact"/>
              <w:rPr>
                <w:rFonts w:eastAsia="宋体" w:asciiTheme="minorEastAsia" w:hAnsiTheme="minorEastAsia" w:cstheme="minorEastAsia"/>
                <w:spacing w:val="7"/>
                <w:lang w:eastAsia="en-US"/>
              </w:rPr>
            </w:pPr>
            <w:r>
              <w:rPr>
                <w:rFonts w:hint="eastAsia" w:ascii="仿宋_GB2312" w:hAnsi="宋体"/>
                <w:lang w:eastAsia="en-US"/>
              </w:rPr>
              <w:t>凭证装订</w:t>
            </w:r>
            <w:r>
              <w:rPr>
                <w:rFonts w:hint="eastAsia" w:ascii="仿宋_GB2312" w:hAnsi="宋体" w:eastAsia="宋体"/>
                <w:lang w:eastAsia="en-US"/>
              </w:rPr>
              <w:t>、保管</w:t>
            </w:r>
          </w:p>
        </w:tc>
        <w:tc>
          <w:tcPr>
            <w:tcW w:w="1980" w:type="dxa"/>
            <w:tcMar>
              <w:top w:w="0" w:type="dxa"/>
              <w:left w:w="108" w:type="dxa"/>
              <w:bottom w:w="0" w:type="dxa"/>
              <w:right w:w="108" w:type="dxa"/>
            </w:tcMar>
            <w:vAlign w:val="center"/>
          </w:tcPr>
          <w:p w14:paraId="33F8625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05FEAC7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r w14:paraId="17E87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6F1E27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2E1BA1F4">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凭证装订</w:t>
            </w:r>
            <w:r>
              <w:rPr>
                <w:rFonts w:hint="eastAsia" w:ascii="仿宋_GB2312" w:hAnsi="宋体" w:eastAsia="宋体"/>
                <w:lang w:eastAsia="en-US"/>
              </w:rPr>
              <w:t>、保管</w:t>
            </w:r>
          </w:p>
        </w:tc>
        <w:tc>
          <w:tcPr>
            <w:tcW w:w="1980" w:type="dxa"/>
            <w:tcMar>
              <w:top w:w="0" w:type="dxa"/>
              <w:left w:w="108" w:type="dxa"/>
              <w:bottom w:w="0" w:type="dxa"/>
              <w:right w:w="108" w:type="dxa"/>
            </w:tcMar>
            <w:vAlign w:val="center"/>
          </w:tcPr>
          <w:p w14:paraId="7F301C1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52A597D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理论讲授</w:t>
            </w:r>
          </w:p>
        </w:tc>
      </w:tr>
    </w:tbl>
    <w:p w14:paraId="55E4E05C"/>
    <w:p w14:paraId="2AADF2EA">
      <w:pPr>
        <w:spacing w:line="400" w:lineRule="exact"/>
        <w:ind w:firstLine="480" w:firstLineChars="200"/>
        <w:rPr>
          <w:rFonts w:ascii="仿宋_GB2312" w:hAnsi="Times New Roman" w:eastAsia="仿宋_GB2312" w:cs="Times New Roman"/>
          <w:sz w:val="24"/>
          <w:szCs w:val="24"/>
        </w:rPr>
      </w:pPr>
    </w:p>
    <w:p w14:paraId="38A1694A">
      <w:pPr>
        <w:widowControl/>
        <w:rPr>
          <w:rFonts w:ascii="黑体" w:hAnsi="黑体" w:eastAsia="黑体"/>
          <w:sz w:val="24"/>
          <w:szCs w:val="24"/>
        </w:rPr>
      </w:pPr>
      <w:r>
        <w:rPr>
          <w:rFonts w:ascii="黑体" w:hAnsi="黑体" w:eastAsia="黑体"/>
          <w:sz w:val="24"/>
          <w:szCs w:val="24"/>
        </w:rPr>
        <w:br w:type="page"/>
      </w:r>
    </w:p>
    <w:p w14:paraId="56BE8FD2">
      <w:pPr>
        <w:pStyle w:val="17"/>
        <w:spacing w:before="156" w:beforeLines="50" w:after="156" w:afterLines="50"/>
        <w:jc w:val="center"/>
        <w:outlineLvl w:val="2"/>
        <w:rPr>
          <w:rFonts w:ascii="黑体" w:hAnsi="黑体" w:eastAsia="黑体" w:cs="黑体"/>
          <w:sz w:val="30"/>
          <w:szCs w:val="30"/>
        </w:rPr>
      </w:pPr>
      <w:bookmarkStart w:id="169" w:name="_Toc22097"/>
      <w:bookmarkStart w:id="170" w:name="_Toc4458"/>
      <w:bookmarkStart w:id="171" w:name="_Toc3754"/>
      <w:r>
        <w:rPr>
          <w:rFonts w:hint="eastAsia" w:ascii="黑体" w:hAnsi="黑体" w:eastAsia="黑体" w:cs="黑体"/>
          <w:sz w:val="30"/>
          <w:szCs w:val="30"/>
        </w:rPr>
        <w:t>企业购销存业务与管理课程标准</w:t>
      </w:r>
      <w:bookmarkEnd w:id="169"/>
      <w:bookmarkEnd w:id="170"/>
      <w:bookmarkEnd w:id="171"/>
    </w:p>
    <w:p w14:paraId="2796D010">
      <w:pPr>
        <w:pStyle w:val="17"/>
        <w:spacing w:after="0" w:line="400" w:lineRule="exact"/>
        <w:ind w:firstLine="560" w:firstLineChars="200"/>
        <w:rPr>
          <w:rFonts w:ascii="楷体_GB2312" w:eastAsia="楷体_GB2312"/>
          <w:sz w:val="28"/>
          <w:szCs w:val="28"/>
        </w:rPr>
      </w:pPr>
    </w:p>
    <w:p w14:paraId="379094A5">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3CDA3855">
      <w:pPr>
        <w:pStyle w:val="17"/>
        <w:spacing w:after="0" w:line="400" w:lineRule="exact"/>
        <w:ind w:firstLine="480" w:firstLineChars="200"/>
        <w:rPr>
          <w:rFonts w:ascii="仿宋_GB2312" w:hAnsi="仿宋_GB2312" w:cs="仿宋_GB2312"/>
          <w:sz w:val="24"/>
          <w:szCs w:val="24"/>
        </w:rPr>
      </w:pPr>
      <w:r>
        <w:rPr>
          <w:rFonts w:hint="eastAsia" w:ascii="仿宋_GB2312" w:hAnsi="仿宋_GB2312" w:cs="仿宋_GB2312"/>
          <w:sz w:val="24"/>
          <w:szCs w:val="24"/>
        </w:rPr>
        <w:t>《企业购销存业务与管理》是中等职业学校会计专业的专业核心课程之一，是一门多学科交叉融合的学科，在专业素养和能力培养等方面具有非常重要的作用，在课程思政教育方面也有得天独厚的优势。课程适度介绍会计电算化理论，着重介绍当今主流财务软件的操作技能；注重实用电算技能的培养，从财务系统业务流程出发，来诠释计算机方式下会计岗位的职责与权限，使学生能学会各个会计岗位的操作方法和规范，从而实现理论与实践零距离。</w:t>
      </w:r>
    </w:p>
    <w:p w14:paraId="07BCA42B">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40412B18">
      <w:pPr>
        <w:pStyle w:val="17"/>
        <w:spacing w:after="0" w:line="400" w:lineRule="exact"/>
        <w:ind w:firstLine="480" w:firstLineChars="200"/>
        <w:rPr>
          <w:sz w:val="24"/>
          <w:szCs w:val="24"/>
        </w:rPr>
      </w:pPr>
      <w:r>
        <w:rPr>
          <w:rFonts w:hint="eastAsia"/>
          <w:sz w:val="24"/>
          <w:szCs w:val="24"/>
        </w:rPr>
        <w:t>1</w:t>
      </w:r>
      <w:r>
        <w:rPr>
          <w:sz w:val="24"/>
          <w:szCs w:val="24"/>
        </w:rPr>
        <w:t>.素质目标</w:t>
      </w:r>
    </w:p>
    <w:p w14:paraId="3FC9BA6D">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（1）具有较强的语言表达、职业沟通和团队合作能力；</w:t>
      </w:r>
    </w:p>
    <w:p w14:paraId="33D7DE7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（2）能严格公正地执行经济纪律；</w:t>
      </w:r>
    </w:p>
    <w:p w14:paraId="061444C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（3）具有良好的心理素质、诚信品质和社会责任感；</w:t>
      </w:r>
    </w:p>
    <w:p w14:paraId="0D44767D">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（4）具有踏实肯干的工作作风和主动、热情、耐心的服务意识；</w:t>
      </w:r>
    </w:p>
    <w:p w14:paraId="02D76831">
      <w:pPr>
        <w:pStyle w:val="2"/>
        <w:spacing w:line="400" w:lineRule="exact"/>
        <w:ind w:firstLine="480"/>
        <w:rPr>
          <w:sz w:val="24"/>
          <w:szCs w:val="24"/>
        </w:rPr>
      </w:pPr>
      <w:r>
        <w:rPr>
          <w:rFonts w:hint="eastAsia" w:ascii="仿宋_GB2312" w:hAnsi="仿宋_GB2312" w:cs="仿宋_GB2312"/>
          <w:sz w:val="24"/>
          <w:szCs w:val="24"/>
        </w:rPr>
        <w:t>（5）根据学习目标，独立开展社会调查能力。</w:t>
      </w:r>
    </w:p>
    <w:p w14:paraId="17D3ACA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146DBAE7">
      <w:pPr>
        <w:widowControl/>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（1）了解会计电算化的基本内容；</w:t>
      </w:r>
    </w:p>
    <w:p w14:paraId="3ED0BD2D">
      <w:pPr>
        <w:widowControl/>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（2）熟悉单位会计电算化组织和管理的基本知识；</w:t>
      </w:r>
    </w:p>
    <w:p w14:paraId="5846630E">
      <w:pPr>
        <w:widowControl/>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（3）掌握会计电算化操作流程和常用方法。</w:t>
      </w:r>
    </w:p>
    <w:p w14:paraId="3829FEC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1BA39D1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 xml:space="preserve">（1）采购管理 </w:t>
      </w:r>
    </w:p>
    <w:p w14:paraId="215D509F">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①采购管理系统初始化；</w:t>
      </w:r>
    </w:p>
    <w:p w14:paraId="73F717F5">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②供应商往来科目设置与期初余额录入；</w:t>
      </w:r>
    </w:p>
    <w:p w14:paraId="2E4B5C0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③采购业务处理；</w:t>
      </w:r>
    </w:p>
    <w:p w14:paraId="03923AA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④付款结算业务处理；</w:t>
      </w:r>
    </w:p>
    <w:p w14:paraId="5159B3B2">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⑤采购管理系统期末处理。</w:t>
      </w:r>
    </w:p>
    <w:p w14:paraId="09654EF7">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 xml:space="preserve">（2）销售管理 </w:t>
      </w:r>
    </w:p>
    <w:p w14:paraId="79AB45F2">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①销售管理系统初始化；</w:t>
      </w:r>
    </w:p>
    <w:p w14:paraId="6EE9B025">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②客户往来科目设置与期初余额录入；</w:t>
      </w:r>
    </w:p>
    <w:p w14:paraId="1DCAA420">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③销售业务处理；</w:t>
      </w:r>
    </w:p>
    <w:p w14:paraId="77032C8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④收款结算业务处理；</w:t>
      </w:r>
    </w:p>
    <w:p w14:paraId="7370155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⑤销售管理系统期末处理。</w:t>
      </w:r>
    </w:p>
    <w:p w14:paraId="0A7F68D0">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 xml:space="preserve">（3）库存管理 </w:t>
      </w:r>
    </w:p>
    <w:p w14:paraId="759A1C81">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①库存管理系统初始化；</w:t>
      </w:r>
    </w:p>
    <w:p w14:paraId="7A135CC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②存货科目与存货对方科目设置；</w:t>
      </w:r>
    </w:p>
    <w:p w14:paraId="70ECF5DE">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③入库业务处理；</w:t>
      </w:r>
    </w:p>
    <w:p w14:paraId="555F2B88">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④出库业务处理；</w:t>
      </w:r>
    </w:p>
    <w:p w14:paraId="029A4EC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⑤库存管理与核算系统期末处理。</w:t>
      </w:r>
    </w:p>
    <w:p w14:paraId="564329C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（4）纳税申报</w:t>
      </w:r>
    </w:p>
    <w:p w14:paraId="7B7F282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①增值税发票开具；</w:t>
      </w:r>
    </w:p>
    <w:p w14:paraId="319C721D">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②增值税纳税申报；</w:t>
      </w:r>
    </w:p>
    <w:p w14:paraId="78C751D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③消费税纳税申报；</w:t>
      </w:r>
    </w:p>
    <w:p w14:paraId="77E6C9E7">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④城建税和教育费附加纳税申报；</w:t>
      </w:r>
    </w:p>
    <w:p w14:paraId="429B1019">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⑤企业所得税纳税申报；</w:t>
      </w:r>
    </w:p>
    <w:p w14:paraId="11C39561">
      <w:pPr>
        <w:pStyle w:val="2"/>
        <w:spacing w:line="400" w:lineRule="exact"/>
        <w:ind w:firstLine="480"/>
      </w:pPr>
      <w:r>
        <w:rPr>
          <w:rFonts w:hint="eastAsia" w:ascii="仿宋_GB2312" w:hAnsi="仿宋_GB2312" w:cs="仿宋_GB2312"/>
          <w:sz w:val="24"/>
          <w:szCs w:val="24"/>
        </w:rPr>
        <w:t>⑥个人所得税纳税申报。</w:t>
      </w:r>
    </w:p>
    <w:p w14:paraId="29EC475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468A9362">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790894C1">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28AA6C1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4学分。</w:t>
      </w:r>
    </w:p>
    <w:p w14:paraId="6B56C13C">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p w14:paraId="14D98914">
      <w:pPr>
        <w:autoSpaceDE w:val="0"/>
        <w:autoSpaceDN w:val="0"/>
        <w:adjustRightInd w:val="0"/>
        <w:spacing w:line="400" w:lineRule="exact"/>
        <w:ind w:firstLine="420" w:firstLineChars="200"/>
      </w:pPr>
      <w:r>
        <w:rPr>
          <w:rFonts w:hint="eastAsia" w:cs="仿宋_GB2312"/>
        </w:rPr>
        <w:t>本课程坚持立德树人的根本要求，结合中职学生学习特点，遵循职业教育人才培养规律，落实课程思政要求，有机融入思想政治教育内容，紧密联系工作实际，突出应用性和实践性，注重学生职业能力和可持续发展能力的培养,结合中高本衔接培养需要，根据会计专业人才培养方案中本课程的内容与要求，合理设计如下学习单元（模块）和教学活动，并在素质、知识和能力等方面达到相应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78476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11719AF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375FD3E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5DC78C1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322732C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09EAC08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6682CD1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378B1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3C590E2">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78B847BE">
            <w:pPr>
              <w:adjustRightInd w:val="0"/>
              <w:jc w:val="center"/>
              <w:rPr>
                <w:rFonts w:asciiTheme="minorEastAsia" w:hAnsiTheme="minorEastAsia" w:cstheme="minorEastAsia"/>
              </w:rPr>
            </w:pPr>
            <w:r>
              <w:rPr>
                <w:rFonts w:hint="eastAsia"/>
              </w:rPr>
              <w:t>采购管理</w:t>
            </w:r>
          </w:p>
        </w:tc>
        <w:tc>
          <w:tcPr>
            <w:tcW w:w="2880" w:type="dxa"/>
            <w:vAlign w:val="center"/>
          </w:tcPr>
          <w:p w14:paraId="44D25233">
            <w:pPr>
              <w:widowControl/>
            </w:pPr>
            <w:r>
              <w:rPr>
                <w:rFonts w:hint="eastAsia"/>
              </w:rPr>
              <w:t>1.采购管理系统初始化；</w:t>
            </w:r>
          </w:p>
          <w:p w14:paraId="3986A0F9">
            <w:pPr>
              <w:widowControl/>
            </w:pPr>
            <w:r>
              <w:rPr>
                <w:rFonts w:hint="eastAsia"/>
              </w:rPr>
              <w:t>2.供应商往来科目设置与期初余额录入；</w:t>
            </w:r>
          </w:p>
          <w:p w14:paraId="26D11BEE">
            <w:pPr>
              <w:widowControl/>
            </w:pPr>
            <w:r>
              <w:rPr>
                <w:rFonts w:hint="eastAsia"/>
              </w:rPr>
              <w:t>3.采购业务处理；</w:t>
            </w:r>
          </w:p>
          <w:p w14:paraId="2C70F2E7">
            <w:pPr>
              <w:widowControl/>
            </w:pPr>
            <w:r>
              <w:rPr>
                <w:rFonts w:hint="eastAsia"/>
              </w:rPr>
              <w:t>4.付款结算业务处理；</w:t>
            </w:r>
          </w:p>
          <w:p w14:paraId="0AA36FE0">
            <w:pPr>
              <w:adjustRightInd w:val="0"/>
              <w:rPr>
                <w:rFonts w:asciiTheme="minorEastAsia" w:hAnsiTheme="minorEastAsia" w:cstheme="minorEastAsia"/>
              </w:rPr>
            </w:pPr>
            <w:r>
              <w:rPr>
                <w:rFonts w:hint="eastAsia"/>
              </w:rPr>
              <w:t>5.采购管理系统期末处理。</w:t>
            </w:r>
          </w:p>
        </w:tc>
        <w:tc>
          <w:tcPr>
            <w:tcW w:w="2682" w:type="dxa"/>
            <w:vAlign w:val="center"/>
          </w:tcPr>
          <w:p w14:paraId="74D4C750">
            <w:pPr>
              <w:adjustRightInd w:val="0"/>
              <w:rPr>
                <w:rFonts w:asciiTheme="minorEastAsia" w:hAnsiTheme="minorEastAsia" w:cstheme="minorEastAsia"/>
              </w:rPr>
            </w:pPr>
            <w:r>
              <w:rPr>
                <w:rFonts w:hint="eastAsia"/>
              </w:rPr>
              <w:t>1.提供企业销售业务数据，根据要求进行进销存系统的初始设置及相关日常业务的操作。</w:t>
            </w:r>
          </w:p>
        </w:tc>
        <w:tc>
          <w:tcPr>
            <w:tcW w:w="724" w:type="dxa"/>
            <w:vAlign w:val="center"/>
          </w:tcPr>
          <w:p w14:paraId="4CD1289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14</w:t>
            </w:r>
          </w:p>
        </w:tc>
      </w:tr>
      <w:tr w14:paraId="1EF83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B2AE244">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2634E2CE">
            <w:pPr>
              <w:adjustRightInd w:val="0"/>
              <w:jc w:val="center"/>
              <w:rPr>
                <w:rFonts w:asciiTheme="minorEastAsia" w:hAnsiTheme="minorEastAsia" w:cstheme="minorEastAsia"/>
              </w:rPr>
            </w:pPr>
            <w:r>
              <w:rPr>
                <w:rFonts w:hint="eastAsia"/>
              </w:rPr>
              <w:t>销售管理</w:t>
            </w:r>
          </w:p>
        </w:tc>
        <w:tc>
          <w:tcPr>
            <w:tcW w:w="2880" w:type="dxa"/>
            <w:vAlign w:val="center"/>
          </w:tcPr>
          <w:p w14:paraId="7E51E489">
            <w:pPr>
              <w:widowControl/>
            </w:pPr>
            <w:r>
              <w:rPr>
                <w:rFonts w:hint="eastAsia"/>
              </w:rPr>
              <w:t>1.销售管理系统初始化；</w:t>
            </w:r>
          </w:p>
          <w:p w14:paraId="4646B7D3">
            <w:pPr>
              <w:widowControl/>
            </w:pPr>
            <w:r>
              <w:rPr>
                <w:rFonts w:hint="eastAsia"/>
              </w:rPr>
              <w:t>2.客户往来科目设置与期初余额录入；</w:t>
            </w:r>
          </w:p>
          <w:p w14:paraId="60F77C47">
            <w:pPr>
              <w:widowControl/>
            </w:pPr>
            <w:r>
              <w:rPr>
                <w:rFonts w:hint="eastAsia"/>
              </w:rPr>
              <w:t>3.销售业务处理；</w:t>
            </w:r>
          </w:p>
          <w:p w14:paraId="6B6EE336">
            <w:pPr>
              <w:widowControl/>
            </w:pPr>
            <w:r>
              <w:rPr>
                <w:rFonts w:hint="eastAsia"/>
              </w:rPr>
              <w:t>4.收款结算业务处理；</w:t>
            </w:r>
          </w:p>
          <w:p w14:paraId="25ABEA08">
            <w:pPr>
              <w:adjustRightInd w:val="0"/>
              <w:rPr>
                <w:rFonts w:asciiTheme="minorEastAsia" w:hAnsiTheme="minorEastAsia" w:cstheme="minorEastAsia"/>
              </w:rPr>
            </w:pPr>
            <w:r>
              <w:rPr>
                <w:rFonts w:hint="eastAsia"/>
              </w:rPr>
              <w:t>5.销售管理系统期末处理。</w:t>
            </w:r>
          </w:p>
        </w:tc>
        <w:tc>
          <w:tcPr>
            <w:tcW w:w="2682" w:type="dxa"/>
            <w:vAlign w:val="center"/>
          </w:tcPr>
          <w:p w14:paraId="2F7B0D1F">
            <w:pPr>
              <w:adjustRightInd w:val="0"/>
              <w:rPr>
                <w:rFonts w:asciiTheme="minorEastAsia" w:hAnsiTheme="minorEastAsia" w:cstheme="minorEastAsia"/>
              </w:rPr>
            </w:pPr>
            <w:r>
              <w:rPr>
                <w:rFonts w:hint="eastAsia"/>
              </w:rPr>
              <w:t>1.提供企业库存业务数据，根据要求进行进销存系统的初始设置及相关日常业务的操作。</w:t>
            </w:r>
          </w:p>
        </w:tc>
        <w:tc>
          <w:tcPr>
            <w:tcW w:w="724" w:type="dxa"/>
            <w:vAlign w:val="center"/>
          </w:tcPr>
          <w:p w14:paraId="7C34B9E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r w14:paraId="4F71A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9F617C2">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46D82C59">
            <w:pPr>
              <w:adjustRightInd w:val="0"/>
              <w:jc w:val="center"/>
              <w:rPr>
                <w:rFonts w:asciiTheme="minorEastAsia" w:hAnsiTheme="minorEastAsia" w:cstheme="minorEastAsia"/>
              </w:rPr>
            </w:pPr>
            <w:r>
              <w:rPr>
                <w:rFonts w:hint="eastAsia"/>
              </w:rPr>
              <w:t>库存管理</w:t>
            </w:r>
          </w:p>
        </w:tc>
        <w:tc>
          <w:tcPr>
            <w:tcW w:w="2880" w:type="dxa"/>
            <w:vAlign w:val="center"/>
          </w:tcPr>
          <w:p w14:paraId="0EF887B8">
            <w:pPr>
              <w:widowControl/>
            </w:pPr>
            <w:r>
              <w:rPr>
                <w:rFonts w:hint="eastAsia"/>
              </w:rPr>
              <w:t>1.库存管理系统初始化；</w:t>
            </w:r>
          </w:p>
          <w:p w14:paraId="46E61199">
            <w:pPr>
              <w:widowControl/>
            </w:pPr>
            <w:r>
              <w:rPr>
                <w:rFonts w:hint="eastAsia"/>
              </w:rPr>
              <w:t>2.存货科目与存货对方科目设置；</w:t>
            </w:r>
          </w:p>
          <w:p w14:paraId="4C437732">
            <w:pPr>
              <w:widowControl/>
            </w:pPr>
            <w:r>
              <w:rPr>
                <w:rFonts w:hint="eastAsia"/>
              </w:rPr>
              <w:t>3.入库业务处理；</w:t>
            </w:r>
          </w:p>
          <w:p w14:paraId="0226D8FF">
            <w:pPr>
              <w:widowControl/>
            </w:pPr>
            <w:r>
              <w:rPr>
                <w:rFonts w:hint="eastAsia"/>
              </w:rPr>
              <w:t>4.出库业务处理；</w:t>
            </w:r>
          </w:p>
          <w:p w14:paraId="476BC7DB">
            <w:pPr>
              <w:adjustRightInd w:val="0"/>
              <w:rPr>
                <w:rFonts w:asciiTheme="minorEastAsia" w:hAnsiTheme="minorEastAsia" w:cstheme="minorEastAsia"/>
              </w:rPr>
            </w:pPr>
            <w:r>
              <w:rPr>
                <w:rFonts w:hint="eastAsia"/>
              </w:rPr>
              <w:t>5.库存管理与核算系统期末处理。</w:t>
            </w:r>
          </w:p>
        </w:tc>
        <w:tc>
          <w:tcPr>
            <w:tcW w:w="2682" w:type="dxa"/>
            <w:vAlign w:val="center"/>
          </w:tcPr>
          <w:p w14:paraId="0DF4EC12">
            <w:pPr>
              <w:widowControl/>
            </w:pPr>
            <w:r>
              <w:rPr>
                <w:rFonts w:hint="eastAsia"/>
              </w:rPr>
              <w:t>1.设定工作情境，引导学生通过自主学习和小组合作；</w:t>
            </w:r>
          </w:p>
          <w:p w14:paraId="3FA7BDA4">
            <w:pPr>
              <w:widowControl/>
              <w:rPr>
                <w:rFonts w:asciiTheme="minorEastAsia" w:hAnsiTheme="minorEastAsia" w:cstheme="minorEastAsia"/>
              </w:rPr>
            </w:pPr>
            <w:r>
              <w:rPr>
                <w:rFonts w:hint="eastAsia"/>
              </w:rPr>
              <w:t>2.税务申报模拟实训。</w:t>
            </w:r>
          </w:p>
        </w:tc>
        <w:tc>
          <w:tcPr>
            <w:tcW w:w="724" w:type="dxa"/>
            <w:vAlign w:val="center"/>
          </w:tcPr>
          <w:p w14:paraId="2B09A2F3">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4D71B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184D919">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0C8C4110">
            <w:pPr>
              <w:adjustRightInd w:val="0"/>
              <w:jc w:val="center"/>
              <w:rPr>
                <w:rFonts w:asciiTheme="minorEastAsia" w:hAnsiTheme="minorEastAsia" w:cstheme="minorEastAsia"/>
              </w:rPr>
            </w:pPr>
            <w:r>
              <w:rPr>
                <w:rFonts w:hint="eastAsia"/>
              </w:rPr>
              <w:t>纳税申报</w:t>
            </w:r>
          </w:p>
        </w:tc>
        <w:tc>
          <w:tcPr>
            <w:tcW w:w="2880" w:type="dxa"/>
            <w:vAlign w:val="center"/>
          </w:tcPr>
          <w:p w14:paraId="7ED01F9C">
            <w:pPr>
              <w:widowControl/>
            </w:pPr>
            <w:r>
              <w:rPr>
                <w:rFonts w:hint="eastAsia"/>
              </w:rPr>
              <w:t>1.增值税发票开具；</w:t>
            </w:r>
          </w:p>
          <w:p w14:paraId="77E5BABF">
            <w:pPr>
              <w:widowControl/>
            </w:pPr>
            <w:r>
              <w:rPr>
                <w:rFonts w:hint="eastAsia"/>
              </w:rPr>
              <w:t>2.增值税纳税申报；</w:t>
            </w:r>
          </w:p>
          <w:p w14:paraId="25D34C4A">
            <w:pPr>
              <w:widowControl/>
            </w:pPr>
            <w:r>
              <w:rPr>
                <w:rFonts w:hint="eastAsia"/>
              </w:rPr>
              <w:t>3.消费税纳税申报；</w:t>
            </w:r>
          </w:p>
          <w:p w14:paraId="08845C18">
            <w:pPr>
              <w:widowControl/>
            </w:pPr>
            <w:r>
              <w:rPr>
                <w:rFonts w:hint="eastAsia"/>
              </w:rPr>
              <w:t>4.城建税和教育费附加纳税申报；</w:t>
            </w:r>
          </w:p>
          <w:p w14:paraId="7F64612B">
            <w:pPr>
              <w:widowControl/>
            </w:pPr>
            <w:r>
              <w:rPr>
                <w:rFonts w:hint="eastAsia"/>
              </w:rPr>
              <w:t>5.企业所得税纳税申报；</w:t>
            </w:r>
          </w:p>
          <w:p w14:paraId="3D747BBA">
            <w:pPr>
              <w:widowControl/>
              <w:rPr>
                <w:rFonts w:asciiTheme="minorEastAsia" w:hAnsiTheme="minorEastAsia" w:cstheme="minorEastAsia"/>
              </w:rPr>
            </w:pPr>
            <w:r>
              <w:rPr>
                <w:rFonts w:hint="eastAsia"/>
              </w:rPr>
              <w:t>6.个人所得税纳税申报。</w:t>
            </w:r>
          </w:p>
        </w:tc>
        <w:tc>
          <w:tcPr>
            <w:tcW w:w="2682" w:type="dxa"/>
            <w:vAlign w:val="center"/>
          </w:tcPr>
          <w:p w14:paraId="249EF965">
            <w:pPr>
              <w:adjustRightInd w:val="0"/>
              <w:rPr>
                <w:rFonts w:asciiTheme="minorEastAsia" w:hAnsiTheme="minorEastAsia" w:cstheme="minorEastAsia"/>
              </w:rPr>
            </w:pPr>
            <w:r>
              <w:rPr>
                <w:rFonts w:hint="eastAsia"/>
              </w:rPr>
              <w:t>1.提供企业销售业务数据，根据要求进行进销存系统的初始设置及相关日常业务的操作。</w:t>
            </w:r>
          </w:p>
        </w:tc>
        <w:tc>
          <w:tcPr>
            <w:tcW w:w="724" w:type="dxa"/>
            <w:vAlign w:val="center"/>
          </w:tcPr>
          <w:p w14:paraId="7D3A3CFE">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bl>
    <w:p w14:paraId="37AE27F4">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7CD677EB">
      <w:pPr>
        <w:pStyle w:val="17"/>
        <w:spacing w:after="0" w:line="400" w:lineRule="exact"/>
        <w:ind w:firstLine="480" w:firstLineChars="200"/>
        <w:rPr>
          <w:sz w:val="24"/>
          <w:szCs w:val="24"/>
        </w:rPr>
      </w:pPr>
      <w:r>
        <w:rPr>
          <w:rFonts w:hint="eastAsia"/>
          <w:sz w:val="24"/>
          <w:szCs w:val="24"/>
        </w:rPr>
        <w:t>1.教学方法</w:t>
      </w:r>
    </w:p>
    <w:p w14:paraId="02C19B40">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33F9FE09">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14616431">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03FA67C7">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0253094F">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7E861F7E">
      <w:pPr>
        <w:pStyle w:val="17"/>
        <w:spacing w:after="0" w:line="400" w:lineRule="exact"/>
        <w:ind w:firstLine="480" w:firstLineChars="200"/>
        <w:rPr>
          <w:sz w:val="24"/>
          <w:szCs w:val="24"/>
        </w:rPr>
      </w:pPr>
      <w:r>
        <w:rPr>
          <w:rFonts w:hint="eastAsia"/>
          <w:sz w:val="24"/>
          <w:szCs w:val="24"/>
        </w:rPr>
        <w:t>2.评价方法</w:t>
      </w:r>
    </w:p>
    <w:p w14:paraId="47F341C1">
      <w:pPr>
        <w:pStyle w:val="17"/>
        <w:spacing w:after="0" w:line="400" w:lineRule="exact"/>
        <w:ind w:firstLine="480" w:firstLineChars="200"/>
        <w:rPr>
          <w:bCs/>
          <w:sz w:val="24"/>
          <w:szCs w:val="24"/>
        </w:rPr>
      </w:pPr>
      <w:r>
        <w:rPr>
          <w:rFonts w:hint="eastAsia"/>
          <w:bCs/>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18AB832F">
      <w:pPr>
        <w:pStyle w:val="17"/>
        <w:spacing w:after="0" w:line="400" w:lineRule="exact"/>
        <w:ind w:firstLine="480" w:firstLineChars="200"/>
        <w:rPr>
          <w:bCs/>
          <w:sz w:val="24"/>
          <w:szCs w:val="24"/>
        </w:rPr>
      </w:pPr>
      <w:r>
        <w:rPr>
          <w:rFonts w:hint="eastAsia"/>
          <w:bCs/>
          <w:sz w:val="24"/>
          <w:szCs w:val="24"/>
        </w:rPr>
        <w:t>课程成绩形成方式建议: 总评成绩= 平时成绩*30%+期中成绩*30%+期末成*40%。</w:t>
      </w:r>
    </w:p>
    <w:p w14:paraId="7A1FE85E">
      <w:pPr>
        <w:pStyle w:val="17"/>
        <w:spacing w:after="0" w:line="400" w:lineRule="exact"/>
        <w:ind w:firstLine="480" w:firstLineChars="200"/>
        <w:rPr>
          <w:sz w:val="24"/>
          <w:szCs w:val="24"/>
        </w:rPr>
      </w:pPr>
      <w:r>
        <w:rPr>
          <w:rFonts w:hint="eastAsia"/>
          <w:sz w:val="24"/>
          <w:szCs w:val="24"/>
        </w:rPr>
        <w:t>3.教学条件</w:t>
      </w:r>
    </w:p>
    <w:p w14:paraId="75C98144">
      <w:pPr>
        <w:pStyle w:val="17"/>
        <w:spacing w:after="0" w:line="400" w:lineRule="exact"/>
        <w:ind w:firstLine="480" w:firstLineChars="200"/>
        <w:rPr>
          <w:bCs/>
          <w:sz w:val="24"/>
          <w:szCs w:val="24"/>
        </w:rPr>
      </w:pPr>
      <w:r>
        <w:rPr>
          <w:rFonts w:hint="eastAsia"/>
          <w:bCs/>
          <w:sz w:val="24"/>
          <w:szCs w:val="24"/>
        </w:rPr>
        <w:t>（1）课堂教学条件</w:t>
      </w:r>
    </w:p>
    <w:p w14:paraId="329D8A82">
      <w:pPr>
        <w:pStyle w:val="17"/>
        <w:spacing w:after="0" w:line="400" w:lineRule="exact"/>
        <w:ind w:firstLine="480" w:firstLineChars="200"/>
        <w:rPr>
          <w:bCs/>
          <w:sz w:val="24"/>
          <w:szCs w:val="24"/>
        </w:rPr>
      </w:pPr>
      <w:r>
        <w:rPr>
          <w:rFonts w:hint="eastAsia"/>
          <w:bCs/>
          <w:sz w:val="24"/>
          <w:szCs w:val="24"/>
        </w:rPr>
        <w:t>教师具备本专业或相近专业本科及以上学历，掌握财务会计基本知识和技能并能熟练操作计算机；能够熟练掌握主流财务软件各模块功能操作方法，对所有业务处理都能进行熟练操作；能够采用适当的教学方法为学生进行会计电算化软件应用示范教学。</w:t>
      </w:r>
    </w:p>
    <w:p w14:paraId="449D8AE5">
      <w:pPr>
        <w:pStyle w:val="17"/>
        <w:spacing w:after="0" w:line="400" w:lineRule="exact"/>
        <w:ind w:firstLine="480" w:firstLineChars="200"/>
        <w:rPr>
          <w:bCs/>
          <w:sz w:val="24"/>
          <w:szCs w:val="24"/>
        </w:rPr>
      </w:pPr>
      <w:r>
        <w:rPr>
          <w:rFonts w:hint="eastAsia"/>
          <w:bCs/>
          <w:sz w:val="24"/>
          <w:szCs w:val="24"/>
        </w:rPr>
        <w:t>（2）实训条件</w:t>
      </w:r>
    </w:p>
    <w:p w14:paraId="277EB8E2">
      <w:pPr>
        <w:pStyle w:val="17"/>
        <w:spacing w:after="0" w:line="400" w:lineRule="exact"/>
        <w:ind w:firstLine="480" w:firstLineChars="200"/>
        <w:rPr>
          <w:bCs/>
          <w:sz w:val="24"/>
          <w:szCs w:val="24"/>
          <w:highlight w:val="yellow"/>
        </w:rPr>
      </w:pPr>
      <w:r>
        <w:rPr>
          <w:rFonts w:hint="eastAsia"/>
          <w:bCs/>
          <w:sz w:val="24"/>
          <w:szCs w:val="24"/>
        </w:rPr>
        <w:t>会计电算化实训室，配置服务器1台，多媒体教师机1台，学生机50-60台，配置网络相关设备。安装适用的windows操作系统、电子教学软件，主要用于控制学生机演示操作。在系统中安装常用财务软件以及与常用财务软件配套的考试系统。</w:t>
      </w:r>
    </w:p>
    <w:p w14:paraId="46577A8C">
      <w:pPr>
        <w:pStyle w:val="17"/>
        <w:spacing w:after="0" w:line="400" w:lineRule="exact"/>
        <w:ind w:firstLine="480" w:firstLineChars="200"/>
        <w:rPr>
          <w:bCs/>
          <w:sz w:val="24"/>
          <w:szCs w:val="24"/>
        </w:rPr>
      </w:pPr>
      <w:r>
        <w:rPr>
          <w:rFonts w:hint="eastAsia"/>
          <w:bCs/>
          <w:sz w:val="24"/>
          <w:szCs w:val="24"/>
        </w:rPr>
        <w:t>4.教材编选</w:t>
      </w:r>
    </w:p>
    <w:p w14:paraId="60240B37">
      <w:pPr>
        <w:pStyle w:val="17"/>
        <w:spacing w:after="0" w:line="400" w:lineRule="exact"/>
        <w:ind w:firstLine="480" w:firstLineChars="200"/>
        <w:rPr>
          <w:bCs/>
          <w:sz w:val="24"/>
          <w:szCs w:val="24"/>
        </w:rPr>
      </w:pPr>
      <w:r>
        <w:rPr>
          <w:rFonts w:hint="eastAsia"/>
          <w:bCs/>
          <w:sz w:val="24"/>
          <w:szCs w:val="24"/>
        </w:rPr>
        <w:t>（1）教材应依据本课程标准编写。</w:t>
      </w:r>
    </w:p>
    <w:p w14:paraId="4ABB96FA">
      <w:pPr>
        <w:pStyle w:val="17"/>
        <w:spacing w:after="0" w:line="400" w:lineRule="exact"/>
        <w:ind w:firstLine="480" w:firstLineChars="200"/>
        <w:rPr>
          <w:bCs/>
          <w:sz w:val="24"/>
          <w:szCs w:val="24"/>
        </w:rPr>
      </w:pPr>
      <w:r>
        <w:rPr>
          <w:rFonts w:hint="eastAsia"/>
          <w:bCs/>
          <w:sz w:val="24"/>
          <w:szCs w:val="24"/>
        </w:rPr>
        <w:t>（2）教材应充分体现任务引领、实践导向的课程设计思想，结合会计职业资格证考试要求，合理安排教材内容。</w:t>
      </w:r>
    </w:p>
    <w:p w14:paraId="71175A55">
      <w:pPr>
        <w:pStyle w:val="17"/>
        <w:spacing w:after="0" w:line="400" w:lineRule="exact"/>
        <w:ind w:firstLine="480" w:firstLineChars="200"/>
        <w:rPr>
          <w:bCs/>
          <w:sz w:val="24"/>
          <w:szCs w:val="24"/>
        </w:rPr>
      </w:pPr>
      <w:r>
        <w:rPr>
          <w:rFonts w:hint="eastAsia"/>
          <w:bCs/>
          <w:sz w:val="24"/>
          <w:szCs w:val="24"/>
        </w:rPr>
        <w:t>（3）教材内容以会计工作过程中的典型活动项目来驱动，注重其可操作性和实践性，建议通过专用软件、多媒体演示、实际训练、情境模拟等多种手段,采用平行方式来组织编写，使学生在各种活动中具备会计操作基本技能。</w:t>
      </w:r>
    </w:p>
    <w:p w14:paraId="6F260D22">
      <w:pPr>
        <w:pStyle w:val="17"/>
        <w:spacing w:after="0" w:line="400" w:lineRule="exact"/>
        <w:ind w:firstLine="480" w:firstLineChars="200"/>
        <w:rPr>
          <w:rFonts w:hint="eastAsia"/>
          <w:bCs/>
          <w:sz w:val="24"/>
          <w:szCs w:val="24"/>
        </w:rPr>
      </w:pPr>
      <w:r>
        <w:rPr>
          <w:rFonts w:hint="eastAsia"/>
          <w:bCs/>
          <w:sz w:val="24"/>
          <w:szCs w:val="24"/>
        </w:rPr>
        <w:t>（4）教材编写应突出以学生为本，注重技能训练环节的设计和训练方法的说明，文字表述要深入浅出，内容展现要图文并茂，重在提高学生学习的积极性和主动性。</w:t>
      </w:r>
    </w:p>
    <w:p w14:paraId="5B14D3A1">
      <w:pPr>
        <w:pStyle w:val="17"/>
        <w:spacing w:after="0" w:line="400" w:lineRule="exact"/>
        <w:ind w:firstLine="480" w:firstLineChars="200"/>
        <w:rPr>
          <w:rFonts w:hint="eastAsia"/>
          <w:bCs/>
          <w:sz w:val="24"/>
          <w:szCs w:val="24"/>
        </w:rPr>
      </w:pPr>
    </w:p>
    <w:p w14:paraId="4EF7E0F9">
      <w:pPr>
        <w:pStyle w:val="17"/>
        <w:spacing w:after="0" w:line="400" w:lineRule="exact"/>
        <w:ind w:firstLine="480" w:firstLineChars="200"/>
        <w:rPr>
          <w:rFonts w:hint="eastAsia"/>
          <w:bCs/>
          <w:sz w:val="24"/>
          <w:szCs w:val="24"/>
        </w:rPr>
      </w:pPr>
    </w:p>
    <w:p w14:paraId="256FDF5D">
      <w:pPr>
        <w:pStyle w:val="17"/>
        <w:spacing w:after="0" w:line="400" w:lineRule="exact"/>
        <w:ind w:firstLine="480" w:firstLineChars="200"/>
        <w:rPr>
          <w:rFonts w:hint="eastAsia"/>
          <w:bCs/>
          <w:sz w:val="24"/>
          <w:szCs w:val="24"/>
        </w:rPr>
      </w:pPr>
    </w:p>
    <w:p w14:paraId="7A0DFA8C">
      <w:pPr>
        <w:pStyle w:val="17"/>
        <w:spacing w:after="0" w:line="400" w:lineRule="exact"/>
        <w:ind w:firstLine="480" w:firstLineChars="200"/>
        <w:rPr>
          <w:rFonts w:hint="eastAsia"/>
          <w:bCs/>
          <w:sz w:val="24"/>
          <w:szCs w:val="24"/>
        </w:rPr>
      </w:pPr>
    </w:p>
    <w:p w14:paraId="303C6C77">
      <w:pPr>
        <w:pStyle w:val="17"/>
        <w:spacing w:after="0" w:line="400" w:lineRule="exact"/>
        <w:ind w:firstLine="480" w:firstLineChars="200"/>
        <w:rPr>
          <w:rFonts w:hint="eastAsia"/>
          <w:bCs/>
          <w:sz w:val="24"/>
          <w:szCs w:val="24"/>
        </w:rPr>
      </w:pPr>
    </w:p>
    <w:p w14:paraId="057AC343">
      <w:pPr>
        <w:pStyle w:val="17"/>
        <w:spacing w:after="0" w:line="400" w:lineRule="exact"/>
        <w:ind w:firstLine="480" w:firstLineChars="200"/>
        <w:rPr>
          <w:rFonts w:hint="eastAsia"/>
          <w:bCs/>
          <w:sz w:val="24"/>
          <w:szCs w:val="24"/>
        </w:rPr>
      </w:pPr>
    </w:p>
    <w:p w14:paraId="2CDC1F71">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7869B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144A37B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30B80E61">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0A25EA91">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3F45B4C4">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1F70B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9399CF6">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19FA1416">
            <w:pPr>
              <w:widowControl/>
              <w:rPr>
                <w:snapToGrid w:val="0"/>
                <w:color w:val="000000"/>
                <w:lang w:eastAsia="en-US"/>
              </w:rPr>
            </w:pPr>
            <w:r>
              <w:rPr>
                <w:rFonts w:hint="eastAsia"/>
                <w:snapToGrid w:val="0"/>
                <w:color w:val="000000"/>
                <w:lang w:eastAsia="en-US"/>
              </w:rPr>
              <w:t>采购管理系统初始化；</w:t>
            </w:r>
          </w:p>
          <w:p w14:paraId="35600DB0">
            <w:pPr>
              <w:widowControl/>
              <w:rPr>
                <w:rFonts w:asciiTheme="minorEastAsia" w:hAnsiTheme="minorEastAsia" w:cstheme="minorEastAsia"/>
                <w:snapToGrid w:val="0"/>
                <w:color w:val="000000"/>
                <w:spacing w:val="7"/>
                <w:lang w:eastAsia="en-US"/>
              </w:rPr>
            </w:pPr>
            <w:r>
              <w:rPr>
                <w:rFonts w:hint="eastAsia"/>
                <w:snapToGrid w:val="0"/>
                <w:color w:val="000000"/>
                <w:lang w:eastAsia="en-US"/>
              </w:rPr>
              <w:t>供应商往来科目设置与期初余额录入；</w:t>
            </w:r>
          </w:p>
        </w:tc>
        <w:tc>
          <w:tcPr>
            <w:tcW w:w="1980" w:type="dxa"/>
            <w:tcMar>
              <w:top w:w="0" w:type="dxa"/>
              <w:left w:w="108" w:type="dxa"/>
              <w:bottom w:w="0" w:type="dxa"/>
              <w:right w:w="108" w:type="dxa"/>
            </w:tcMar>
            <w:vAlign w:val="center"/>
          </w:tcPr>
          <w:p w14:paraId="44910F2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2A10544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43799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7955BE5F">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3A77DDC2">
            <w:pPr>
              <w:widowControl/>
              <w:rPr>
                <w:rFonts w:asciiTheme="minorEastAsia" w:hAnsiTheme="minorEastAsia" w:cstheme="minorEastAsia"/>
                <w:snapToGrid w:val="0"/>
                <w:color w:val="000000"/>
                <w:spacing w:val="7"/>
                <w:lang w:eastAsia="en-US"/>
              </w:rPr>
            </w:pPr>
            <w:r>
              <w:rPr>
                <w:rFonts w:hint="eastAsia"/>
                <w:snapToGrid w:val="0"/>
                <w:color w:val="000000"/>
                <w:lang w:eastAsia="en-US"/>
              </w:rPr>
              <w:t>采购业务处理（一）；</w:t>
            </w:r>
          </w:p>
        </w:tc>
        <w:tc>
          <w:tcPr>
            <w:tcW w:w="1980" w:type="dxa"/>
            <w:tcMar>
              <w:top w:w="0" w:type="dxa"/>
              <w:left w:w="108" w:type="dxa"/>
              <w:bottom w:w="0" w:type="dxa"/>
              <w:right w:w="108" w:type="dxa"/>
            </w:tcMar>
            <w:vAlign w:val="center"/>
          </w:tcPr>
          <w:p w14:paraId="003012A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6AAB191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108D5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3B648BB">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555C40BE">
            <w:pPr>
              <w:widowControl/>
              <w:rPr>
                <w:snapToGrid w:val="0"/>
                <w:color w:val="000000"/>
                <w:lang w:eastAsia="en-US"/>
              </w:rPr>
            </w:pPr>
            <w:r>
              <w:rPr>
                <w:rFonts w:hint="eastAsia"/>
                <w:snapToGrid w:val="0"/>
                <w:color w:val="000000"/>
                <w:lang w:eastAsia="en-US"/>
              </w:rPr>
              <w:t>采购业务处理（二）；</w:t>
            </w:r>
          </w:p>
          <w:p w14:paraId="7D5E8112">
            <w:pPr>
              <w:widowControl/>
              <w:rPr>
                <w:rFonts w:asciiTheme="minorEastAsia" w:hAnsiTheme="minorEastAsia" w:cstheme="minorEastAsia"/>
                <w:snapToGrid w:val="0"/>
                <w:color w:val="000000"/>
                <w:spacing w:val="7"/>
                <w:lang w:eastAsia="en-US"/>
              </w:rPr>
            </w:pPr>
            <w:r>
              <w:rPr>
                <w:rFonts w:hint="eastAsia"/>
                <w:snapToGrid w:val="0"/>
                <w:color w:val="000000"/>
                <w:lang w:eastAsia="en-US"/>
              </w:rPr>
              <w:t>付款结算业务处理；</w:t>
            </w:r>
          </w:p>
        </w:tc>
        <w:tc>
          <w:tcPr>
            <w:tcW w:w="1980" w:type="dxa"/>
            <w:tcMar>
              <w:top w:w="0" w:type="dxa"/>
              <w:left w:w="108" w:type="dxa"/>
              <w:bottom w:w="0" w:type="dxa"/>
              <w:right w:w="108" w:type="dxa"/>
            </w:tcMar>
            <w:vAlign w:val="center"/>
          </w:tcPr>
          <w:p w14:paraId="2ADC56A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65D0564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1CBA1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DBA56E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617CD23E">
            <w:pPr>
              <w:pStyle w:val="178"/>
              <w:spacing w:line="360" w:lineRule="exact"/>
              <w:rPr>
                <w:rFonts w:ascii="宋体" w:hAnsi="宋体" w:cs="宋体"/>
                <w:lang w:eastAsia="en-US"/>
              </w:rPr>
            </w:pPr>
            <w:r>
              <w:rPr>
                <w:rFonts w:hint="eastAsia" w:ascii="宋体" w:hAnsi="宋体" w:cs="宋体"/>
                <w:lang w:eastAsia="en-US"/>
              </w:rPr>
              <w:t>采购管理系统期末处理。</w:t>
            </w:r>
          </w:p>
          <w:p w14:paraId="696AC4A8">
            <w:pPr>
              <w:widowControl/>
              <w:rPr>
                <w:snapToGrid w:val="0"/>
                <w:color w:val="000000"/>
                <w:lang w:eastAsia="en-US"/>
              </w:rPr>
            </w:pPr>
            <w:r>
              <w:rPr>
                <w:rFonts w:hint="eastAsia"/>
                <w:snapToGrid w:val="0"/>
                <w:color w:val="000000"/>
                <w:lang w:eastAsia="en-US"/>
              </w:rPr>
              <w:t>销售管理系统初始化；</w:t>
            </w:r>
          </w:p>
          <w:p w14:paraId="0B48BA3D">
            <w:pPr>
              <w:widowControl/>
              <w:rPr>
                <w:snapToGrid w:val="0"/>
                <w:color w:val="000000"/>
                <w:lang w:eastAsia="en-US"/>
              </w:rPr>
            </w:pPr>
            <w:r>
              <w:rPr>
                <w:rFonts w:hint="eastAsia"/>
                <w:snapToGrid w:val="0"/>
                <w:color w:val="000000"/>
                <w:lang w:eastAsia="en-US"/>
              </w:rPr>
              <w:t>客户往来科目设置与期初余额录入；</w:t>
            </w:r>
          </w:p>
        </w:tc>
        <w:tc>
          <w:tcPr>
            <w:tcW w:w="1980" w:type="dxa"/>
            <w:tcMar>
              <w:top w:w="0" w:type="dxa"/>
              <w:left w:w="108" w:type="dxa"/>
              <w:bottom w:w="0" w:type="dxa"/>
              <w:right w:w="108" w:type="dxa"/>
            </w:tcMar>
            <w:vAlign w:val="center"/>
          </w:tcPr>
          <w:p w14:paraId="065F947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4B32CDE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7DB8F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FE30C7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7B8615E9">
            <w:pPr>
              <w:widowControl/>
              <w:rPr>
                <w:rFonts w:asciiTheme="minorEastAsia" w:hAnsiTheme="minorEastAsia" w:cstheme="minorEastAsia"/>
                <w:snapToGrid w:val="0"/>
                <w:color w:val="000000"/>
                <w:spacing w:val="7"/>
                <w:lang w:eastAsia="en-US"/>
              </w:rPr>
            </w:pPr>
            <w:r>
              <w:rPr>
                <w:rFonts w:hint="eastAsia"/>
                <w:snapToGrid w:val="0"/>
                <w:color w:val="000000"/>
                <w:lang w:eastAsia="en-US"/>
              </w:rPr>
              <w:t>销售业务处理；</w:t>
            </w:r>
          </w:p>
        </w:tc>
        <w:tc>
          <w:tcPr>
            <w:tcW w:w="1980" w:type="dxa"/>
            <w:tcMar>
              <w:top w:w="0" w:type="dxa"/>
              <w:left w:w="108" w:type="dxa"/>
              <w:bottom w:w="0" w:type="dxa"/>
              <w:right w:w="108" w:type="dxa"/>
            </w:tcMar>
            <w:vAlign w:val="center"/>
          </w:tcPr>
          <w:p w14:paraId="38992A1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20345BB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0034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0B79F7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4BD1CA6C">
            <w:pPr>
              <w:widowControl/>
              <w:rPr>
                <w:snapToGrid w:val="0"/>
                <w:color w:val="000000"/>
                <w:lang w:eastAsia="en-US"/>
              </w:rPr>
            </w:pPr>
            <w:r>
              <w:rPr>
                <w:rFonts w:hint="eastAsia"/>
                <w:snapToGrid w:val="0"/>
                <w:color w:val="000000"/>
                <w:lang w:eastAsia="en-US"/>
              </w:rPr>
              <w:t>收款结算业务处理；</w:t>
            </w:r>
          </w:p>
          <w:p w14:paraId="1685D6FE">
            <w:pPr>
              <w:widowControl/>
              <w:rPr>
                <w:snapToGrid w:val="0"/>
                <w:color w:val="000000"/>
                <w:lang w:eastAsia="en-US"/>
              </w:rPr>
            </w:pPr>
            <w:r>
              <w:rPr>
                <w:rFonts w:hint="eastAsia"/>
                <w:snapToGrid w:val="0"/>
                <w:color w:val="000000"/>
                <w:lang w:eastAsia="en-US"/>
              </w:rPr>
              <w:t>库存管理系统初始化；</w:t>
            </w:r>
          </w:p>
          <w:p w14:paraId="2538C83A">
            <w:pPr>
              <w:widowControl/>
              <w:rPr>
                <w:rFonts w:asciiTheme="minorEastAsia" w:hAnsiTheme="minorEastAsia" w:cstheme="minorEastAsia"/>
                <w:snapToGrid w:val="0"/>
                <w:color w:val="000000"/>
                <w:spacing w:val="7"/>
                <w:lang w:eastAsia="en-US"/>
              </w:rPr>
            </w:pPr>
            <w:r>
              <w:rPr>
                <w:rFonts w:hint="eastAsia"/>
                <w:snapToGrid w:val="0"/>
                <w:color w:val="000000"/>
                <w:lang w:eastAsia="en-US"/>
              </w:rPr>
              <w:t>存货科目与存货对方科目设置；</w:t>
            </w:r>
          </w:p>
        </w:tc>
        <w:tc>
          <w:tcPr>
            <w:tcW w:w="1980" w:type="dxa"/>
            <w:tcMar>
              <w:top w:w="0" w:type="dxa"/>
              <w:left w:w="108" w:type="dxa"/>
              <w:bottom w:w="0" w:type="dxa"/>
              <w:right w:w="108" w:type="dxa"/>
            </w:tcMar>
            <w:vAlign w:val="center"/>
          </w:tcPr>
          <w:p w14:paraId="58B5DBB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4297815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1FFE9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079EC4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77B10FAC">
            <w:pPr>
              <w:widowControl/>
              <w:rPr>
                <w:snapToGrid w:val="0"/>
                <w:color w:val="000000"/>
                <w:lang w:eastAsia="en-US"/>
              </w:rPr>
            </w:pPr>
            <w:r>
              <w:rPr>
                <w:rFonts w:hint="eastAsia"/>
                <w:snapToGrid w:val="0"/>
                <w:color w:val="000000"/>
                <w:lang w:eastAsia="en-US"/>
              </w:rPr>
              <w:t>入库业务处理；</w:t>
            </w:r>
          </w:p>
          <w:p w14:paraId="10A04BC8">
            <w:pPr>
              <w:widowControl/>
              <w:rPr>
                <w:snapToGrid w:val="0"/>
                <w:color w:val="000000"/>
                <w:lang w:eastAsia="en-US"/>
              </w:rPr>
            </w:pPr>
            <w:r>
              <w:rPr>
                <w:rFonts w:hint="eastAsia"/>
                <w:snapToGrid w:val="0"/>
                <w:color w:val="000000"/>
                <w:lang w:eastAsia="en-US"/>
              </w:rPr>
              <w:t>出库业务处理；</w:t>
            </w:r>
          </w:p>
          <w:p w14:paraId="7EAF99A6">
            <w:pPr>
              <w:widowControl/>
              <w:rPr>
                <w:rFonts w:asciiTheme="minorEastAsia" w:hAnsiTheme="minorEastAsia" w:cstheme="minorEastAsia"/>
                <w:snapToGrid w:val="0"/>
                <w:color w:val="000000"/>
                <w:spacing w:val="7"/>
                <w:lang w:eastAsia="en-US"/>
              </w:rPr>
            </w:pPr>
            <w:r>
              <w:rPr>
                <w:rFonts w:hint="eastAsia"/>
                <w:snapToGrid w:val="0"/>
                <w:color w:val="000000"/>
                <w:lang w:eastAsia="en-US"/>
              </w:rPr>
              <w:t>库存管理与核算系统期末处理。</w:t>
            </w:r>
          </w:p>
        </w:tc>
        <w:tc>
          <w:tcPr>
            <w:tcW w:w="1980" w:type="dxa"/>
            <w:tcMar>
              <w:top w:w="0" w:type="dxa"/>
              <w:left w:w="108" w:type="dxa"/>
              <w:bottom w:w="0" w:type="dxa"/>
              <w:right w:w="108" w:type="dxa"/>
            </w:tcMar>
            <w:vAlign w:val="center"/>
          </w:tcPr>
          <w:p w14:paraId="157E775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031A204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178A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7A81DA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7665E440">
            <w:pPr>
              <w:widowControl/>
              <w:rPr>
                <w:snapToGrid w:val="0"/>
                <w:color w:val="000000"/>
                <w:lang w:eastAsia="en-US"/>
              </w:rPr>
            </w:pPr>
            <w:r>
              <w:rPr>
                <w:rFonts w:hint="eastAsia"/>
                <w:snapToGrid w:val="0"/>
                <w:color w:val="000000"/>
                <w:lang w:eastAsia="en-US"/>
              </w:rPr>
              <w:t>增值税发票开具；</w:t>
            </w:r>
          </w:p>
          <w:p w14:paraId="5358DD27">
            <w:pPr>
              <w:widowControl/>
              <w:rPr>
                <w:snapToGrid w:val="0"/>
                <w:color w:val="000000"/>
                <w:lang w:eastAsia="en-US"/>
              </w:rPr>
            </w:pPr>
            <w:r>
              <w:rPr>
                <w:rFonts w:hint="eastAsia"/>
                <w:snapToGrid w:val="0"/>
                <w:color w:val="000000"/>
                <w:lang w:eastAsia="en-US"/>
              </w:rPr>
              <w:t>增值税纳税申报；</w:t>
            </w:r>
          </w:p>
          <w:p w14:paraId="4D156426">
            <w:pPr>
              <w:widowControl/>
              <w:rPr>
                <w:rFonts w:asciiTheme="minorEastAsia" w:hAnsiTheme="minorEastAsia" w:cstheme="minorEastAsia"/>
                <w:snapToGrid w:val="0"/>
                <w:color w:val="000000"/>
                <w:spacing w:val="7"/>
                <w:lang w:eastAsia="en-US"/>
              </w:rPr>
            </w:pPr>
            <w:r>
              <w:rPr>
                <w:rFonts w:hint="eastAsia"/>
                <w:snapToGrid w:val="0"/>
                <w:color w:val="000000"/>
                <w:lang w:eastAsia="en-US"/>
              </w:rPr>
              <w:t>消费税纳税申报；</w:t>
            </w:r>
          </w:p>
        </w:tc>
        <w:tc>
          <w:tcPr>
            <w:tcW w:w="1980" w:type="dxa"/>
            <w:tcMar>
              <w:top w:w="0" w:type="dxa"/>
              <w:left w:w="108" w:type="dxa"/>
              <w:bottom w:w="0" w:type="dxa"/>
              <w:right w:w="108" w:type="dxa"/>
            </w:tcMar>
            <w:vAlign w:val="center"/>
          </w:tcPr>
          <w:p w14:paraId="326BF5F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127B638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r w14:paraId="5A2F4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E2F7308">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0D9E90D3">
            <w:pPr>
              <w:widowControl/>
              <w:rPr>
                <w:snapToGrid w:val="0"/>
                <w:color w:val="000000"/>
                <w:lang w:eastAsia="en-US"/>
              </w:rPr>
            </w:pPr>
            <w:r>
              <w:rPr>
                <w:rFonts w:hint="eastAsia"/>
                <w:snapToGrid w:val="0"/>
                <w:color w:val="000000"/>
                <w:lang w:eastAsia="en-US"/>
              </w:rPr>
              <w:t>城建税和教育费附加纳税申报；</w:t>
            </w:r>
          </w:p>
          <w:p w14:paraId="50C743B5">
            <w:pPr>
              <w:widowControl/>
              <w:rPr>
                <w:snapToGrid w:val="0"/>
                <w:color w:val="000000"/>
                <w:lang w:eastAsia="en-US"/>
              </w:rPr>
            </w:pPr>
            <w:r>
              <w:rPr>
                <w:rFonts w:hint="eastAsia"/>
                <w:snapToGrid w:val="0"/>
                <w:color w:val="000000"/>
                <w:lang w:eastAsia="en-US"/>
              </w:rPr>
              <w:t>企业所得税纳税申报；</w:t>
            </w:r>
          </w:p>
          <w:p w14:paraId="75692909">
            <w:pPr>
              <w:pStyle w:val="178"/>
              <w:spacing w:line="360" w:lineRule="exact"/>
              <w:rPr>
                <w:rFonts w:asciiTheme="minorEastAsia" w:hAnsiTheme="minorEastAsia" w:eastAsiaTheme="minorEastAsia" w:cstheme="minorEastAsia"/>
                <w:spacing w:val="7"/>
                <w:lang w:eastAsia="en-US"/>
              </w:rPr>
            </w:pPr>
            <w:r>
              <w:rPr>
                <w:rFonts w:hint="eastAsia" w:ascii="宋体" w:hAnsi="宋体" w:cs="宋体"/>
                <w:lang w:eastAsia="en-US"/>
              </w:rPr>
              <w:t>个人所得税纳税申报。</w:t>
            </w:r>
          </w:p>
        </w:tc>
        <w:tc>
          <w:tcPr>
            <w:tcW w:w="1980" w:type="dxa"/>
            <w:tcMar>
              <w:top w:w="0" w:type="dxa"/>
              <w:left w:w="108" w:type="dxa"/>
              <w:bottom w:w="0" w:type="dxa"/>
              <w:right w:w="108" w:type="dxa"/>
            </w:tcMar>
            <w:vAlign w:val="center"/>
          </w:tcPr>
          <w:p w14:paraId="74D1DEA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6CBA616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实训</w:t>
            </w:r>
          </w:p>
        </w:tc>
      </w:tr>
    </w:tbl>
    <w:p w14:paraId="5EC91DE9">
      <w:pPr>
        <w:rPr>
          <w:rFonts w:hint="eastAsia" w:ascii="黑体" w:hAnsi="黑体" w:eastAsia="黑体" w:cs="黑体"/>
          <w:sz w:val="30"/>
          <w:szCs w:val="30"/>
        </w:rPr>
      </w:pPr>
      <w:bookmarkStart w:id="172" w:name="_Toc11659"/>
      <w:bookmarkStart w:id="173" w:name="_Toc23534"/>
      <w:bookmarkStart w:id="174" w:name="_Toc17025"/>
      <w:r>
        <w:rPr>
          <w:rFonts w:hint="eastAsia" w:ascii="黑体" w:hAnsi="黑体" w:eastAsia="黑体" w:cs="黑体"/>
          <w:sz w:val="30"/>
          <w:szCs w:val="30"/>
        </w:rPr>
        <w:br w:type="page"/>
      </w:r>
    </w:p>
    <w:p w14:paraId="6C7AEEFF">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出纳实务课程标准</w:t>
      </w:r>
      <w:bookmarkEnd w:id="172"/>
      <w:bookmarkEnd w:id="173"/>
      <w:bookmarkEnd w:id="174"/>
    </w:p>
    <w:p w14:paraId="2F88E389">
      <w:pPr>
        <w:pStyle w:val="17"/>
        <w:spacing w:after="0" w:line="400" w:lineRule="exact"/>
        <w:ind w:firstLine="560" w:firstLineChars="200"/>
        <w:rPr>
          <w:rFonts w:ascii="楷体_GB2312" w:eastAsia="楷体_GB2312"/>
          <w:sz w:val="28"/>
          <w:szCs w:val="28"/>
        </w:rPr>
      </w:pPr>
    </w:p>
    <w:p w14:paraId="16FCF3E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一</w:t>
      </w:r>
      <w:r>
        <w:rPr>
          <w:rFonts w:hint="eastAsia" w:ascii="楷体_GB2312" w:eastAsia="楷体_GB2312"/>
          <w:sz w:val="24"/>
          <w:szCs w:val="24"/>
          <w:lang w:eastAsia="zh-CN"/>
        </w:rPr>
        <w:t>）</w:t>
      </w:r>
      <w:r>
        <w:rPr>
          <w:rFonts w:hint="eastAsia" w:ascii="楷体_GB2312" w:eastAsia="楷体_GB2312"/>
          <w:sz w:val="24"/>
          <w:szCs w:val="24"/>
        </w:rPr>
        <w:t>课程性质与任务</w:t>
      </w:r>
    </w:p>
    <w:p w14:paraId="7711127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出纳实务》是会计专业学生必修的专业核心课程，系统地介绍了出纳人员必备的岗位技能知识、业务步骤和相关手续，具有较强的政策性、技能性和操作性，其功能是使学生掌握出纳业务的基本知识，具备处理出纳业务的基本技能和专业技能，养成出纳人员应有的职业素质，同时，作为一门岗位课程，本课程为学生毕业后顺利上岗，以及未来职业生涯的发展起到很大帮助。</w:t>
      </w:r>
    </w:p>
    <w:p w14:paraId="0BC86908">
      <w:pPr>
        <w:pStyle w:val="17"/>
        <w:spacing w:after="0" w:line="400" w:lineRule="exact"/>
        <w:ind w:firstLine="480" w:firstLineChars="200"/>
        <w:rPr>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二</w:t>
      </w:r>
      <w:r>
        <w:rPr>
          <w:rFonts w:hint="eastAsia" w:ascii="楷体_GB2312" w:eastAsia="楷体_GB2312"/>
          <w:sz w:val="24"/>
          <w:szCs w:val="24"/>
          <w:lang w:eastAsia="zh-CN"/>
        </w:rPr>
        <w:t>）</w:t>
      </w:r>
      <w:r>
        <w:rPr>
          <w:rFonts w:hint="eastAsia" w:ascii="楷体_GB2312" w:eastAsia="楷体_GB2312"/>
          <w:sz w:val="24"/>
          <w:szCs w:val="24"/>
        </w:rPr>
        <w:t>课程教学目标</w:t>
      </w:r>
    </w:p>
    <w:p w14:paraId="570992BC">
      <w:pPr>
        <w:pStyle w:val="17"/>
        <w:spacing w:after="0" w:line="400" w:lineRule="exact"/>
        <w:ind w:firstLine="480" w:firstLineChars="200"/>
        <w:rPr>
          <w:rFonts w:ascii="仿宋_GB2312"/>
          <w:sz w:val="24"/>
          <w:szCs w:val="24"/>
        </w:rPr>
      </w:pPr>
      <w:r>
        <w:rPr>
          <w:rFonts w:hint="eastAsia" w:ascii="仿宋_GB2312"/>
          <w:sz w:val="24"/>
          <w:szCs w:val="24"/>
          <w:lang w:val="en-US" w:eastAsia="zh-CN"/>
        </w:rPr>
        <w:t>1.</w:t>
      </w:r>
      <w:r>
        <w:rPr>
          <w:rFonts w:ascii="仿宋_GB2312"/>
          <w:sz w:val="24"/>
          <w:szCs w:val="24"/>
        </w:rPr>
        <w:t>素质目标</w:t>
      </w:r>
    </w:p>
    <w:p w14:paraId="6D199B9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帮助学生树立爱岗敬业、诚实守信、廉洁自律、客观公正、遵守准则、提高技能、保守秘密和文明服务的职业道德。在学习中养成诚实做人，光明磊落；保密守信，谨防泄密，不为利益所诱惑；坚持执业谨慎，信誉至上的良好情操。</w:t>
      </w:r>
    </w:p>
    <w:p w14:paraId="560E40E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val="en-US" w:eastAsia="zh-CN"/>
        </w:rPr>
        <w:t>2.</w:t>
      </w:r>
      <w:r>
        <w:rPr>
          <w:rFonts w:hint="eastAsia" w:ascii="仿宋_GB2312" w:eastAsia="仿宋_GB2312" w:cs="仿宋_GB2312"/>
          <w:sz w:val="24"/>
          <w:szCs w:val="24"/>
        </w:rPr>
        <w:t>知识目标</w:t>
      </w:r>
    </w:p>
    <w:p w14:paraId="53D3234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1</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掌握出纳岗位工作制度和出纳人员职业素质；</w:t>
      </w:r>
    </w:p>
    <w:p w14:paraId="1A28167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2</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掌握阿拉伯数字的书写要求；</w:t>
      </w:r>
    </w:p>
    <w:p w14:paraId="505FA7D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掌握票据金额和日期的书写要求；</w:t>
      </w:r>
    </w:p>
    <w:p w14:paraId="116D280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掌握常见点钞方法的操作标准和要求；</w:t>
      </w:r>
    </w:p>
    <w:p w14:paraId="7ED6F4B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掌握现金和银行存款管理的相关规定；</w:t>
      </w:r>
    </w:p>
    <w:p w14:paraId="07FE71A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6</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掌握现金和银行存款的清查方法以及银行存款余额调节表的编制方法；</w:t>
      </w:r>
    </w:p>
    <w:p w14:paraId="4144429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7</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熟悉出纳工作常见原始凭证的格式，并掌握其填制审核的方法；</w:t>
      </w:r>
    </w:p>
    <w:p w14:paraId="6CFCDAF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8</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掌握出纳记账凭证的填制与审核方法；</w:t>
      </w:r>
    </w:p>
    <w:p w14:paraId="195D296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9</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掌握出纳日记账和备查账的登记方法以及错账更正方法；</w:t>
      </w:r>
    </w:p>
    <w:p w14:paraId="6FDA6DA7">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10</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掌握出纳日常业务的操作流程和注意事项</w:t>
      </w:r>
    </w:p>
    <w:p w14:paraId="39A4EB9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lang w:val="en-US" w:eastAsia="zh-CN"/>
        </w:rPr>
        <w:t>3.</w:t>
      </w:r>
      <w:r>
        <w:rPr>
          <w:rFonts w:hint="eastAsia" w:ascii="仿宋_GB2312" w:eastAsia="仿宋_GB2312" w:cs="仿宋_GB2312"/>
          <w:sz w:val="24"/>
          <w:szCs w:val="24"/>
        </w:rPr>
        <w:t>能力目标</w:t>
      </w:r>
    </w:p>
    <w:p w14:paraId="372BF4A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本教材通过出纳员岗位实训内容的学习与操作，能够达到社会能力、专业能力、方法能力的全面提高。</w:t>
      </w:r>
    </w:p>
    <w:p w14:paraId="7CAB52FA">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lang w:eastAsia="zh-CN"/>
        </w:rPr>
        <w:t>（</w:t>
      </w:r>
      <w:r>
        <w:rPr>
          <w:rFonts w:hint="eastAsia" w:ascii="楷体_GB2312" w:eastAsia="楷体_GB2312"/>
          <w:sz w:val="24"/>
          <w:szCs w:val="24"/>
          <w:lang w:val="en-US" w:eastAsia="zh-CN"/>
        </w:rPr>
        <w:t>三</w:t>
      </w:r>
      <w:r>
        <w:rPr>
          <w:rFonts w:hint="eastAsia" w:ascii="楷体_GB2312" w:eastAsia="楷体_GB2312"/>
          <w:sz w:val="24"/>
          <w:szCs w:val="24"/>
          <w:lang w:eastAsia="zh-CN"/>
        </w:rPr>
        <w:t>）</w:t>
      </w:r>
      <w:r>
        <w:rPr>
          <w:rFonts w:hint="eastAsia" w:ascii="楷体_GB2312" w:eastAsia="楷体_GB2312"/>
          <w:sz w:val="24"/>
          <w:szCs w:val="24"/>
        </w:rPr>
        <w:t>参考学时</w:t>
      </w:r>
    </w:p>
    <w:p w14:paraId="1E4126C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36学时。</w:t>
      </w:r>
    </w:p>
    <w:p w14:paraId="061C394F">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17985E4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2学分。</w:t>
      </w:r>
    </w:p>
    <w:p w14:paraId="0D851D3A">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p w14:paraId="746A0CE7">
      <w:pPr>
        <w:autoSpaceDE w:val="0"/>
        <w:autoSpaceDN w:val="0"/>
        <w:adjustRightInd w:val="0"/>
        <w:spacing w:line="400" w:lineRule="exact"/>
        <w:ind w:firstLine="420" w:firstLineChars="200"/>
        <w:rPr>
          <w:rFonts w:ascii="仿宋_GB2312" w:eastAsia="仿宋_GB2312" w:cs="仿宋_GB2312"/>
          <w:sz w:val="24"/>
          <w:szCs w:val="24"/>
        </w:rPr>
      </w:pPr>
      <w:r>
        <w:rPr>
          <w:rFonts w:hint="eastAsia" w:cs="仿宋_GB2312"/>
        </w:rPr>
        <w:t>建议：采用表格的形式表述。包括完成课程教学应具备的知识、技能、方法、策略等</w:t>
      </w:r>
      <w:r>
        <w:rPr>
          <w:rFonts w:hint="eastAsia" w:ascii="仿宋_GB2312" w:eastAsia="仿宋_GB2312" w:cs="仿宋_GB2312"/>
          <w:sz w:val="24"/>
          <w:szCs w:val="24"/>
        </w:rPr>
        <w:t>。</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48A0C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3B0ADC2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2DF9F48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0C20570E">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0AEB0130">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7CCCE1F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4686A01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64095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78167E6">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1</w:t>
            </w:r>
          </w:p>
        </w:tc>
        <w:tc>
          <w:tcPr>
            <w:tcW w:w="1089" w:type="dxa"/>
            <w:vAlign w:val="center"/>
          </w:tcPr>
          <w:p w14:paraId="52FD4A09">
            <w:pPr>
              <w:adjustRightInd w:val="0"/>
              <w:spacing w:line="360" w:lineRule="exact"/>
              <w:rPr>
                <w:rFonts w:asciiTheme="minorEastAsia" w:hAnsiTheme="minorEastAsia" w:cstheme="minorEastAsia"/>
              </w:rPr>
            </w:pPr>
            <w:r>
              <w:rPr>
                <w:rFonts w:hint="eastAsia" w:asciiTheme="minorEastAsia" w:hAnsiTheme="minorEastAsia" w:cstheme="minorEastAsia"/>
              </w:rPr>
              <w:t>出纳员角色意识的培养训练</w:t>
            </w:r>
          </w:p>
        </w:tc>
        <w:tc>
          <w:tcPr>
            <w:tcW w:w="2880" w:type="dxa"/>
            <w:vAlign w:val="center"/>
          </w:tcPr>
          <w:p w14:paraId="3E2860BE">
            <w:pPr>
              <w:adjustRightInd w:val="0"/>
              <w:spacing w:line="360" w:lineRule="exact"/>
              <w:rPr>
                <w:rFonts w:asciiTheme="minorEastAsia" w:hAnsiTheme="minorEastAsia" w:cstheme="minorEastAsia"/>
              </w:rPr>
            </w:pPr>
            <w:r>
              <w:rPr>
                <w:rFonts w:hint="eastAsia" w:asciiTheme="minorEastAsia" w:hAnsiTheme="minorEastAsia" w:cstheme="minorEastAsia"/>
                <w:color w:val="000000"/>
              </w:rPr>
              <w:t>熟悉出纳员的工作职责与工作范围。</w:t>
            </w:r>
          </w:p>
        </w:tc>
        <w:tc>
          <w:tcPr>
            <w:tcW w:w="2682" w:type="dxa"/>
            <w:vAlign w:val="center"/>
          </w:tcPr>
          <w:p w14:paraId="20F0E24D">
            <w:pPr>
              <w:adjustRightInd w:val="0"/>
              <w:rPr>
                <w:rFonts w:asciiTheme="minorEastAsia" w:hAnsiTheme="minorEastAsia" w:cstheme="minorEastAsia"/>
                <w:color w:val="000000"/>
              </w:rPr>
            </w:pPr>
            <w:r>
              <w:rPr>
                <w:rFonts w:hint="eastAsia" w:asciiTheme="minorEastAsia" w:hAnsiTheme="minorEastAsia" w:cstheme="minorEastAsia"/>
                <w:color w:val="000000"/>
              </w:rPr>
              <w:t>针对服务中常见的问题提出解决办法。</w:t>
            </w:r>
          </w:p>
          <w:p w14:paraId="1829374C">
            <w:pPr>
              <w:spacing w:line="360" w:lineRule="exact"/>
              <w:rPr>
                <w:rFonts w:asciiTheme="minorEastAsia" w:hAnsiTheme="minorEastAsia" w:cstheme="minorEastAsia"/>
              </w:rPr>
            </w:pPr>
            <w:r>
              <w:rPr>
                <w:rFonts w:hint="eastAsia" w:asciiTheme="minorEastAsia" w:hAnsiTheme="minorEastAsia" w:cstheme="minorEastAsia"/>
                <w:color w:val="000000"/>
              </w:rPr>
              <w:t>出纳人员必须具备良好的职业道德修养，热爱本职工作；爱岗敬业，诚实守信，廉洁自律，客观公正，坚持准则，提高技能，参与管理和强化服务。</w:t>
            </w:r>
          </w:p>
        </w:tc>
        <w:tc>
          <w:tcPr>
            <w:tcW w:w="724" w:type="dxa"/>
            <w:vAlign w:val="center"/>
          </w:tcPr>
          <w:p w14:paraId="39363953">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r>
      <w:tr w14:paraId="14F9B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84A9760">
            <w:pPr>
              <w:adjustRightInd w:val="0"/>
              <w:spacing w:line="360" w:lineRule="exact"/>
              <w:jc w:val="center"/>
              <w:rPr>
                <w:rFonts w:asciiTheme="minorEastAsia" w:hAnsiTheme="minorEastAsia" w:cstheme="minorEastAsia"/>
              </w:rPr>
            </w:pPr>
            <w:r>
              <w:rPr>
                <w:rFonts w:asciiTheme="minorEastAsia" w:hAnsiTheme="minorEastAsia" w:cstheme="minorEastAsia"/>
              </w:rPr>
              <w:t>2</w:t>
            </w:r>
          </w:p>
        </w:tc>
        <w:tc>
          <w:tcPr>
            <w:tcW w:w="1089" w:type="dxa"/>
            <w:vAlign w:val="center"/>
          </w:tcPr>
          <w:p w14:paraId="139ABAAD">
            <w:pPr>
              <w:spacing w:line="360" w:lineRule="exact"/>
              <w:jc w:val="center"/>
              <w:rPr>
                <w:rFonts w:asciiTheme="minorEastAsia" w:hAnsiTheme="minorEastAsia" w:cstheme="minorEastAsia"/>
              </w:rPr>
            </w:pPr>
            <w:r>
              <w:rPr>
                <w:rFonts w:hint="eastAsia" w:asciiTheme="minorEastAsia" w:hAnsiTheme="minorEastAsia" w:cstheme="minorEastAsia"/>
                <w:position w:val="-3"/>
              </w:rPr>
              <w:t>出纳员基本技能训练</w:t>
            </w:r>
          </w:p>
        </w:tc>
        <w:tc>
          <w:tcPr>
            <w:tcW w:w="2880" w:type="dxa"/>
            <w:vAlign w:val="center"/>
          </w:tcPr>
          <w:p w14:paraId="78D148EF">
            <w:pPr>
              <w:adjustRightInd w:val="0"/>
              <w:spacing w:line="360" w:lineRule="exact"/>
              <w:rPr>
                <w:rFonts w:asciiTheme="minorEastAsia" w:hAnsiTheme="minorEastAsia" w:cstheme="minorEastAsia"/>
              </w:rPr>
            </w:pPr>
            <w:r>
              <w:rPr>
                <w:rFonts w:hint="eastAsia" w:asciiTheme="minorEastAsia" w:hAnsiTheme="minorEastAsia" w:cstheme="minorEastAsia"/>
              </w:rPr>
              <w:t>文字、数字的书写、计算器的应用、人民币真伪的辨别、点钞技术、保险柜的使用。</w:t>
            </w:r>
          </w:p>
        </w:tc>
        <w:tc>
          <w:tcPr>
            <w:tcW w:w="2682" w:type="dxa"/>
            <w:vAlign w:val="center"/>
          </w:tcPr>
          <w:p w14:paraId="79A93F2B">
            <w:pPr>
              <w:adjustRightInd w:val="0"/>
              <w:rPr>
                <w:rFonts w:asciiTheme="minorEastAsia" w:hAnsiTheme="minorEastAsia" w:cstheme="minorEastAsia"/>
              </w:rPr>
            </w:pPr>
            <w:r>
              <w:rPr>
                <w:rFonts w:hint="eastAsia" w:asciiTheme="minorEastAsia" w:hAnsiTheme="minorEastAsia" w:cstheme="minorEastAsia"/>
              </w:rPr>
              <w:t>学生动手操作，教师巡回指导，发现问题及时更正并讲解。</w:t>
            </w:r>
          </w:p>
          <w:p w14:paraId="2B7D5F8F">
            <w:pPr>
              <w:spacing w:line="360" w:lineRule="exact"/>
              <w:rPr>
                <w:rFonts w:asciiTheme="minorEastAsia" w:hAnsiTheme="minorEastAsia" w:cstheme="minorEastAsia"/>
              </w:rPr>
            </w:pPr>
            <w:r>
              <w:rPr>
                <w:rFonts w:hint="eastAsia" w:asciiTheme="minorEastAsia" w:hAnsiTheme="minorEastAsia" w:cstheme="minorEastAsia"/>
              </w:rPr>
              <w:t>出纳人员应具备一定的专业技能，不断提高会计业务素质和职业道德水平，树立职业道德观念、职业风险意识、保密意识和责任意识。</w:t>
            </w:r>
          </w:p>
        </w:tc>
        <w:tc>
          <w:tcPr>
            <w:tcW w:w="724" w:type="dxa"/>
            <w:vAlign w:val="center"/>
          </w:tcPr>
          <w:p w14:paraId="577B0642">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2093D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B1B678D">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611134D7">
            <w:pPr>
              <w:adjustRightInd w:val="0"/>
              <w:spacing w:line="360" w:lineRule="exact"/>
              <w:rPr>
                <w:rFonts w:asciiTheme="minorEastAsia" w:hAnsiTheme="minorEastAsia" w:cstheme="minorEastAsia"/>
              </w:rPr>
            </w:pPr>
            <w:r>
              <w:rPr>
                <w:rFonts w:hint="eastAsia" w:asciiTheme="minorEastAsia" w:hAnsiTheme="minorEastAsia" w:cstheme="minorEastAsia"/>
              </w:rPr>
              <w:t>现金出纳业务处理训练</w:t>
            </w:r>
          </w:p>
        </w:tc>
        <w:tc>
          <w:tcPr>
            <w:tcW w:w="2880" w:type="dxa"/>
            <w:vAlign w:val="center"/>
          </w:tcPr>
          <w:p w14:paraId="5B5A2EE8">
            <w:pPr>
              <w:adjustRightInd w:val="0"/>
              <w:spacing w:line="360" w:lineRule="exact"/>
              <w:rPr>
                <w:rFonts w:asciiTheme="minorEastAsia" w:hAnsiTheme="minorEastAsia" w:cstheme="minorEastAsia"/>
              </w:rPr>
            </w:pPr>
            <w:r>
              <w:rPr>
                <w:rFonts w:hint="eastAsia" w:asciiTheme="minorEastAsia" w:hAnsiTheme="minorEastAsia" w:cstheme="minorEastAsia"/>
              </w:rPr>
              <w:t>通过实训使学生能正确的处理与单位内部、外部的相关办理业务人员的协作关系。归纳出现金结算的流程、现金收支管理主体。</w:t>
            </w:r>
          </w:p>
        </w:tc>
        <w:tc>
          <w:tcPr>
            <w:tcW w:w="2682" w:type="dxa"/>
            <w:vAlign w:val="center"/>
          </w:tcPr>
          <w:p w14:paraId="37233786">
            <w:pPr>
              <w:adjustRightInd w:val="0"/>
              <w:rPr>
                <w:rFonts w:asciiTheme="minorEastAsia" w:hAnsiTheme="minorEastAsia" w:cstheme="minorEastAsia"/>
              </w:rPr>
            </w:pPr>
            <w:r>
              <w:rPr>
                <w:rFonts w:hint="eastAsia" w:asciiTheme="minorEastAsia" w:hAnsiTheme="minorEastAsia" w:cstheme="minorEastAsia"/>
              </w:rPr>
              <w:t>学生动手操作，加大了计算的工作量，教师巡回指导，发现问题更正并讲解。</w:t>
            </w:r>
          </w:p>
          <w:p w14:paraId="3F87B552">
            <w:pPr>
              <w:spacing w:line="360" w:lineRule="exact"/>
              <w:rPr>
                <w:rFonts w:asciiTheme="minorEastAsia" w:hAnsiTheme="minorEastAsia" w:cstheme="minorEastAsia"/>
              </w:rPr>
            </w:pPr>
            <w:r>
              <w:rPr>
                <w:rFonts w:hint="eastAsia" w:asciiTheme="minorEastAsia" w:hAnsiTheme="minorEastAsia" w:cstheme="minorEastAsia"/>
              </w:rPr>
              <w:t>出纳工作需要接触大量的现金，对职业素养的要求非常高，培养学生</w:t>
            </w:r>
            <w:r>
              <w:rPr>
                <w:rFonts w:hint="eastAsia" w:asciiTheme="minorEastAsia" w:hAnsiTheme="minorEastAsia" w:cstheme="minorEastAsia"/>
                <w:color w:val="000000"/>
              </w:rPr>
              <w:t>爱岗敬业，诚实守信，廉洁自律的职业道德。</w:t>
            </w:r>
          </w:p>
        </w:tc>
        <w:tc>
          <w:tcPr>
            <w:tcW w:w="724" w:type="dxa"/>
            <w:vAlign w:val="center"/>
          </w:tcPr>
          <w:p w14:paraId="1C41AEC8">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r>
      <w:tr w14:paraId="6471F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5DD892B9">
            <w:pPr>
              <w:adjustRightInd w:val="0"/>
              <w:spacing w:line="360" w:lineRule="exact"/>
              <w:jc w:val="center"/>
              <w:rPr>
                <w:rFonts w:asciiTheme="minorEastAsia" w:hAnsiTheme="minorEastAsia" w:cstheme="minorEastAsia"/>
              </w:rPr>
            </w:pPr>
            <w:r>
              <w:rPr>
                <w:rFonts w:asciiTheme="minorEastAsia" w:hAnsiTheme="minorEastAsia" w:cstheme="minorEastAsia"/>
              </w:rPr>
              <w:t>4</w:t>
            </w:r>
          </w:p>
        </w:tc>
        <w:tc>
          <w:tcPr>
            <w:tcW w:w="1089" w:type="dxa"/>
            <w:vAlign w:val="center"/>
          </w:tcPr>
          <w:p w14:paraId="666614AA">
            <w:pPr>
              <w:adjustRightInd w:val="0"/>
              <w:spacing w:line="360" w:lineRule="exact"/>
              <w:rPr>
                <w:rFonts w:asciiTheme="minorEastAsia" w:hAnsiTheme="minorEastAsia" w:cstheme="minorEastAsia"/>
              </w:rPr>
            </w:pPr>
            <w:r>
              <w:rPr>
                <w:rFonts w:hint="eastAsia" w:asciiTheme="minorEastAsia" w:hAnsiTheme="minorEastAsia" w:cstheme="minorEastAsia"/>
              </w:rPr>
              <w:t>银行出纳业务处理训练</w:t>
            </w:r>
          </w:p>
        </w:tc>
        <w:tc>
          <w:tcPr>
            <w:tcW w:w="2880" w:type="dxa"/>
            <w:vAlign w:val="center"/>
          </w:tcPr>
          <w:p w14:paraId="113D1320">
            <w:pPr>
              <w:adjustRightInd w:val="0"/>
              <w:spacing w:line="360" w:lineRule="exact"/>
              <w:rPr>
                <w:rFonts w:asciiTheme="minorEastAsia" w:hAnsiTheme="minorEastAsia" w:cstheme="minorEastAsia"/>
              </w:rPr>
            </w:pPr>
            <w:r>
              <w:rPr>
                <w:rFonts w:hint="eastAsia" w:asciiTheme="minorEastAsia" w:hAnsiTheme="minorEastAsia" w:cstheme="minorEastAsia"/>
              </w:rPr>
              <w:t>通过对典型银行存款收入、支出业务的学习与训练工作，总结出银行存款业务的基本工作程序。</w:t>
            </w:r>
          </w:p>
        </w:tc>
        <w:tc>
          <w:tcPr>
            <w:tcW w:w="2682" w:type="dxa"/>
            <w:vAlign w:val="center"/>
          </w:tcPr>
          <w:p w14:paraId="0622CADC">
            <w:pPr>
              <w:widowControl/>
              <w:rPr>
                <w:rFonts w:asciiTheme="minorEastAsia" w:hAnsiTheme="minorEastAsia" w:cstheme="minorEastAsia"/>
              </w:rPr>
            </w:pPr>
            <w:r>
              <w:rPr>
                <w:rFonts w:hint="eastAsia" w:asciiTheme="minorEastAsia" w:hAnsiTheme="minorEastAsia" w:cstheme="minorEastAsia"/>
              </w:rPr>
              <w:t>学生动手操作，加大了计算的工作量，教师巡回指导，发现问题更正并讲解。</w:t>
            </w:r>
          </w:p>
          <w:p w14:paraId="33D3F6C1">
            <w:pPr>
              <w:adjustRightInd w:val="0"/>
              <w:spacing w:line="360" w:lineRule="exact"/>
              <w:rPr>
                <w:rFonts w:asciiTheme="minorEastAsia" w:hAnsiTheme="minorEastAsia" w:cstheme="minorEastAsia"/>
              </w:rPr>
            </w:pPr>
            <w:r>
              <w:rPr>
                <w:rFonts w:hint="eastAsia" w:asciiTheme="minorEastAsia" w:hAnsiTheme="minorEastAsia" w:cstheme="minorEastAsia"/>
              </w:rPr>
              <w:t>出纳工作需要接触大量的银行业务，对职业素养的要求更高，需要注重培养学生的职业道德。</w:t>
            </w:r>
          </w:p>
        </w:tc>
        <w:tc>
          <w:tcPr>
            <w:tcW w:w="724" w:type="dxa"/>
            <w:vAlign w:val="center"/>
          </w:tcPr>
          <w:p w14:paraId="01DA17C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r w14:paraId="421F1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156A742">
            <w:pPr>
              <w:adjustRightInd w:val="0"/>
              <w:spacing w:line="360" w:lineRule="exact"/>
              <w:jc w:val="center"/>
              <w:rPr>
                <w:rFonts w:asciiTheme="minorEastAsia" w:hAnsiTheme="minorEastAsia" w:cstheme="minorEastAsia"/>
              </w:rPr>
            </w:pPr>
            <w:r>
              <w:rPr>
                <w:rFonts w:asciiTheme="minorEastAsia" w:hAnsiTheme="minorEastAsia" w:cstheme="minorEastAsia"/>
              </w:rPr>
              <w:t>5</w:t>
            </w:r>
          </w:p>
        </w:tc>
        <w:tc>
          <w:tcPr>
            <w:tcW w:w="1089" w:type="dxa"/>
            <w:vAlign w:val="center"/>
          </w:tcPr>
          <w:p w14:paraId="46F5552F">
            <w:pPr>
              <w:adjustRightInd w:val="0"/>
              <w:spacing w:line="360" w:lineRule="exact"/>
              <w:rPr>
                <w:rFonts w:asciiTheme="minorEastAsia" w:hAnsiTheme="minorEastAsia" w:cstheme="minorEastAsia"/>
              </w:rPr>
            </w:pPr>
            <w:r>
              <w:rPr>
                <w:rFonts w:hint="eastAsia" w:asciiTheme="minorEastAsia" w:hAnsiTheme="minorEastAsia" w:cstheme="minorEastAsia"/>
              </w:rPr>
              <w:t>银行转账结算业务处理训练</w:t>
            </w:r>
          </w:p>
        </w:tc>
        <w:tc>
          <w:tcPr>
            <w:tcW w:w="2880" w:type="dxa"/>
            <w:vAlign w:val="center"/>
          </w:tcPr>
          <w:p w14:paraId="6DB26716">
            <w:pPr>
              <w:adjustRightInd w:val="0"/>
              <w:spacing w:line="360" w:lineRule="exact"/>
              <w:rPr>
                <w:rFonts w:asciiTheme="minorEastAsia" w:hAnsiTheme="minorEastAsia" w:cstheme="minorEastAsia"/>
              </w:rPr>
            </w:pPr>
            <w:r>
              <w:rPr>
                <w:rFonts w:hint="eastAsia" w:asciiTheme="minorEastAsia" w:hAnsiTheme="minorEastAsia" w:cstheme="minorEastAsia"/>
              </w:rPr>
              <w:t>通过8种银行结算的学习与训练工作，总结出银行转账结算的主体、流程、手续。</w:t>
            </w:r>
          </w:p>
        </w:tc>
        <w:tc>
          <w:tcPr>
            <w:tcW w:w="2682" w:type="dxa"/>
            <w:vAlign w:val="center"/>
          </w:tcPr>
          <w:p w14:paraId="0D9086A0">
            <w:pPr>
              <w:rPr>
                <w:rFonts w:asciiTheme="minorEastAsia" w:hAnsiTheme="minorEastAsia" w:cstheme="minorEastAsia"/>
              </w:rPr>
            </w:pPr>
            <w:r>
              <w:rPr>
                <w:rFonts w:hint="eastAsia" w:asciiTheme="minorEastAsia" w:hAnsiTheme="minorEastAsia" w:cstheme="minorEastAsia"/>
              </w:rPr>
              <w:t>学生动手操作，教师巡回指导，发现问题更正并讲解。</w:t>
            </w:r>
          </w:p>
          <w:p w14:paraId="25D503FE">
            <w:pPr>
              <w:widowControl/>
              <w:rPr>
                <w:rFonts w:asciiTheme="minorEastAsia" w:hAnsiTheme="minorEastAsia" w:cstheme="minorEastAsia"/>
              </w:rPr>
            </w:pPr>
            <w:r>
              <w:rPr>
                <w:rFonts w:hint="eastAsia" w:asciiTheme="minorEastAsia" w:hAnsiTheme="minorEastAsia" w:cstheme="minorEastAsia"/>
              </w:rPr>
              <w:t>出纳工作需要接触大量的银行业务，对职业素养的要求更高，需要注重培养学生的职业道德。</w:t>
            </w:r>
          </w:p>
        </w:tc>
        <w:tc>
          <w:tcPr>
            <w:tcW w:w="724" w:type="dxa"/>
            <w:vAlign w:val="center"/>
          </w:tcPr>
          <w:p w14:paraId="1CC195EC">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r>
      <w:tr w14:paraId="7C904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C3A5469">
            <w:pPr>
              <w:adjustRightInd w:val="0"/>
              <w:spacing w:line="360" w:lineRule="exact"/>
              <w:jc w:val="center"/>
              <w:rPr>
                <w:rFonts w:asciiTheme="minorEastAsia" w:hAnsiTheme="minorEastAsia" w:cstheme="minorEastAsia"/>
              </w:rPr>
            </w:pPr>
            <w:r>
              <w:rPr>
                <w:rFonts w:asciiTheme="minorEastAsia" w:hAnsiTheme="minorEastAsia" w:cstheme="minorEastAsia"/>
              </w:rPr>
              <w:t>6</w:t>
            </w:r>
          </w:p>
        </w:tc>
        <w:tc>
          <w:tcPr>
            <w:tcW w:w="1089" w:type="dxa"/>
            <w:vAlign w:val="center"/>
          </w:tcPr>
          <w:p w14:paraId="3A2EBDEA">
            <w:pPr>
              <w:adjustRightInd w:val="0"/>
              <w:spacing w:line="360" w:lineRule="exact"/>
              <w:rPr>
                <w:rFonts w:asciiTheme="minorEastAsia" w:hAnsiTheme="minorEastAsia" w:cstheme="minorEastAsia"/>
              </w:rPr>
            </w:pPr>
            <w:r>
              <w:rPr>
                <w:rFonts w:hint="eastAsia" w:asciiTheme="minorEastAsia" w:hAnsiTheme="minorEastAsia" w:cstheme="minorEastAsia"/>
              </w:rPr>
              <w:t>出纳员岗位综合训练</w:t>
            </w:r>
          </w:p>
        </w:tc>
        <w:tc>
          <w:tcPr>
            <w:tcW w:w="2880" w:type="dxa"/>
            <w:vAlign w:val="center"/>
          </w:tcPr>
          <w:p w14:paraId="3CB5CF4E">
            <w:pPr>
              <w:adjustRightInd w:val="0"/>
              <w:spacing w:line="360" w:lineRule="exact"/>
              <w:rPr>
                <w:rFonts w:asciiTheme="minorEastAsia" w:hAnsiTheme="minorEastAsia" w:cstheme="minorEastAsia"/>
              </w:rPr>
            </w:pPr>
            <w:r>
              <w:rPr>
                <w:rFonts w:hint="eastAsia" w:asciiTheme="minorEastAsia" w:hAnsiTheme="minorEastAsia" w:cstheme="minorEastAsia"/>
              </w:rPr>
              <w:t>通过模拟公司的出纳员，综合运用专业知识，进行货币资金收付业务的综合训练。</w:t>
            </w:r>
          </w:p>
        </w:tc>
        <w:tc>
          <w:tcPr>
            <w:tcW w:w="2682" w:type="dxa"/>
            <w:vAlign w:val="center"/>
          </w:tcPr>
          <w:p w14:paraId="1A96BA54">
            <w:pPr>
              <w:rPr>
                <w:rFonts w:asciiTheme="minorEastAsia" w:hAnsiTheme="minorEastAsia" w:cstheme="minorEastAsia"/>
              </w:rPr>
            </w:pPr>
            <w:r>
              <w:rPr>
                <w:rFonts w:hint="eastAsia" w:asciiTheme="minorEastAsia" w:hAnsiTheme="minorEastAsia" w:cstheme="minorEastAsia"/>
              </w:rPr>
              <w:t>学生动手操作，教师巡回指导，发现问题更正并讲解。</w:t>
            </w:r>
          </w:p>
          <w:p w14:paraId="7F243702">
            <w:pPr>
              <w:widowControl/>
              <w:rPr>
                <w:rFonts w:asciiTheme="minorEastAsia" w:hAnsiTheme="minorEastAsia" w:cstheme="minorEastAsia"/>
              </w:rPr>
            </w:pPr>
            <w:r>
              <w:rPr>
                <w:rFonts w:hint="eastAsia" w:asciiTheme="minorEastAsia" w:hAnsiTheme="minorEastAsia" w:cstheme="minorEastAsia"/>
              </w:rPr>
              <w:t>通过学习，学生应掌握出纳核算的基本知识和方法，能够出纳基本功熟练办理现金、银行结算业务，具备全面精通的财税政策水平和法律观念，熟练高超的业务技能，还应具备诚实守信，严谨细致，廉洁自律，文明服务的良好职业道德素质。</w:t>
            </w:r>
          </w:p>
        </w:tc>
        <w:tc>
          <w:tcPr>
            <w:tcW w:w="724" w:type="dxa"/>
            <w:vAlign w:val="center"/>
          </w:tcPr>
          <w:p w14:paraId="4498D340">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r>
    </w:tbl>
    <w:p w14:paraId="21A1AE6A">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3B182C7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1.教学方法</w:t>
      </w:r>
    </w:p>
    <w:p w14:paraId="342212A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2853D69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57B152D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任务驱动法中穿插了讲授法、案例分析法、分组讨论、头脑风暴法、角色扮演法等教学方法。</w:t>
      </w:r>
    </w:p>
    <w:p w14:paraId="74DA5F6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ascii="仿宋_GB2312" w:hAnsi="Times New Roman" w:eastAsia="仿宋_GB2312" w:cs="Times New Roman"/>
          <w:sz w:val="24"/>
          <w:szCs w:val="24"/>
        </w:rPr>
        <w:t>2</w:t>
      </w:r>
      <w:r>
        <w:rPr>
          <w:rFonts w:hint="eastAsia" w:ascii="仿宋_GB2312" w:hAnsi="Times New Roman" w:eastAsia="仿宋_GB2312" w:cs="Times New Roman"/>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4DC1503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ascii="仿宋_GB2312" w:hAnsi="Times New Roman" w:eastAsia="仿宋_GB2312" w:cs="Times New Roman"/>
          <w:sz w:val="24"/>
          <w:szCs w:val="24"/>
        </w:rPr>
        <w:t>3</w:t>
      </w:r>
      <w:r>
        <w:rPr>
          <w:rFonts w:hint="eastAsia" w:ascii="仿宋_GB2312" w:hAnsi="Times New Roman" w:eastAsia="仿宋_GB2312" w:cs="Times New Roman"/>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11CB70D4">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2.评价方法</w:t>
      </w:r>
    </w:p>
    <w:p w14:paraId="2E5FF1D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3FAF43F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课程成绩形成方式建议: 总评成绩= 平时成绩*30%+期中成绩*30%+期末成*40%。</w:t>
      </w:r>
    </w:p>
    <w:p w14:paraId="2E96D6D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3.教学条件</w:t>
      </w:r>
    </w:p>
    <w:p w14:paraId="2072284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校内有一支结构合理、素质优良、具有良好职业修养的“双师素质”教师队伍，校外有一批既具有丰富的会计实际工作经验，又具有一定理论基础的会计专家参与学习领域课程标准的制定。</w:t>
      </w:r>
    </w:p>
    <w:p w14:paraId="4A5DAB3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4.教材编选</w:t>
      </w:r>
    </w:p>
    <w:p w14:paraId="27C30639">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1</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教材应依据本课程标准编写。</w:t>
      </w:r>
    </w:p>
    <w:p w14:paraId="44CE559A">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2</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教材应充分体现任务引领、实践导向的课程设计思想，结合会计职业资格证考试要求，合理安排教材内容。</w:t>
      </w:r>
    </w:p>
    <w:p w14:paraId="36088432">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教材内容以会计工作过程中的典型活动项目来驱动，注重其可操作性和实践性，建议通过专用软件、多媒体演示、实际训练、情境模拟等多种手段,采用平行方式来组织编写，使学生在各种活动中具备会计操作基本技能。</w:t>
      </w:r>
    </w:p>
    <w:p w14:paraId="5D362D7C">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教材编写应突出以学生为本，注重技能训练环节的设计和训练方法的说明，文字表述要深入浅出，内容展现要图文并茂，重在提高学生学习的积极性和主动性。</w:t>
      </w:r>
    </w:p>
    <w:p w14:paraId="39EC2BCC">
      <w:pPr>
        <w:pStyle w:val="17"/>
        <w:spacing w:line="360" w:lineRule="auto"/>
        <w:jc w:val="center"/>
        <w:rPr>
          <w:rFonts w:ascii="黑体" w:hAnsi="黑体" w:eastAsia="黑体"/>
          <w:sz w:val="28"/>
          <w:szCs w:val="28"/>
        </w:rPr>
      </w:pPr>
    </w:p>
    <w:p w14:paraId="3B4FDE4F">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0B8E4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1A71DC4F">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205302CF">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760220A6">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4CE8885B">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7E90C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32215A5D">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261D4CF0">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出纳员的工作职责</w:t>
            </w:r>
          </w:p>
        </w:tc>
        <w:tc>
          <w:tcPr>
            <w:tcW w:w="1980" w:type="dxa"/>
            <w:tcMar>
              <w:top w:w="0" w:type="dxa"/>
              <w:left w:w="108" w:type="dxa"/>
              <w:bottom w:w="0" w:type="dxa"/>
              <w:right w:w="108" w:type="dxa"/>
            </w:tcMar>
            <w:vAlign w:val="center"/>
          </w:tcPr>
          <w:p w14:paraId="2ACD510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634190A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0E35B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4F2AD8B0">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21D1CCA2">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出纳员的工作范围</w:t>
            </w:r>
          </w:p>
        </w:tc>
        <w:tc>
          <w:tcPr>
            <w:tcW w:w="1980" w:type="dxa"/>
            <w:tcMar>
              <w:top w:w="0" w:type="dxa"/>
              <w:left w:w="108" w:type="dxa"/>
              <w:bottom w:w="0" w:type="dxa"/>
              <w:right w:w="108" w:type="dxa"/>
            </w:tcMar>
          </w:tcPr>
          <w:p w14:paraId="4031DFB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A74A4D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5F54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FD9537E">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23AABDB8">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文字、数字的书写</w:t>
            </w:r>
          </w:p>
        </w:tc>
        <w:tc>
          <w:tcPr>
            <w:tcW w:w="1980" w:type="dxa"/>
            <w:tcMar>
              <w:top w:w="0" w:type="dxa"/>
              <w:left w:w="108" w:type="dxa"/>
              <w:bottom w:w="0" w:type="dxa"/>
              <w:right w:w="108" w:type="dxa"/>
            </w:tcMar>
          </w:tcPr>
          <w:p w14:paraId="4DF39E3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tcPr>
          <w:p w14:paraId="36C4598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38C1F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51F06CB">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3AB7A92C">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计算器的应用</w:t>
            </w:r>
          </w:p>
        </w:tc>
        <w:tc>
          <w:tcPr>
            <w:tcW w:w="1980" w:type="dxa"/>
            <w:tcMar>
              <w:top w:w="0" w:type="dxa"/>
              <w:left w:w="108" w:type="dxa"/>
              <w:bottom w:w="0" w:type="dxa"/>
              <w:right w:w="108" w:type="dxa"/>
            </w:tcMar>
          </w:tcPr>
          <w:p w14:paraId="13FDA73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tcPr>
          <w:p w14:paraId="68886A41">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4FC90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DBD98B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2A2706F9">
            <w:pPr>
              <w:pStyle w:val="178"/>
              <w:spacing w:line="360" w:lineRule="exact"/>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人民币真伪的鉴别</w:t>
            </w:r>
          </w:p>
        </w:tc>
        <w:tc>
          <w:tcPr>
            <w:tcW w:w="1980" w:type="dxa"/>
            <w:tcMar>
              <w:top w:w="0" w:type="dxa"/>
              <w:left w:w="108" w:type="dxa"/>
              <w:bottom w:w="0" w:type="dxa"/>
              <w:right w:w="108" w:type="dxa"/>
            </w:tcMar>
          </w:tcPr>
          <w:p w14:paraId="414AC7E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tcPr>
          <w:p w14:paraId="5F3221C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w:t>
            </w:r>
          </w:p>
        </w:tc>
      </w:tr>
      <w:tr w14:paraId="71C75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203D93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799A9177">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现金出纳业务训练</w:t>
            </w:r>
          </w:p>
        </w:tc>
        <w:tc>
          <w:tcPr>
            <w:tcW w:w="1980" w:type="dxa"/>
            <w:tcMar>
              <w:top w:w="0" w:type="dxa"/>
              <w:left w:w="108" w:type="dxa"/>
              <w:bottom w:w="0" w:type="dxa"/>
              <w:right w:w="108" w:type="dxa"/>
            </w:tcMar>
          </w:tcPr>
          <w:p w14:paraId="021E7409">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24480DA2">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22B17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C2A232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0A94C676">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单位内部外部工作人员的协作关系</w:t>
            </w:r>
          </w:p>
        </w:tc>
        <w:tc>
          <w:tcPr>
            <w:tcW w:w="1980" w:type="dxa"/>
            <w:tcMar>
              <w:top w:w="0" w:type="dxa"/>
              <w:left w:w="108" w:type="dxa"/>
              <w:bottom w:w="0" w:type="dxa"/>
              <w:right w:w="108" w:type="dxa"/>
            </w:tcMar>
          </w:tcPr>
          <w:p w14:paraId="38B1EBD5">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370856A0">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2D30E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7DE7A81">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0480CA74">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现金结算的流程、现金收支管理的主体</w:t>
            </w:r>
          </w:p>
        </w:tc>
        <w:tc>
          <w:tcPr>
            <w:tcW w:w="1980" w:type="dxa"/>
            <w:tcMar>
              <w:top w:w="0" w:type="dxa"/>
              <w:left w:w="108" w:type="dxa"/>
              <w:bottom w:w="0" w:type="dxa"/>
              <w:right w:w="108" w:type="dxa"/>
            </w:tcMar>
          </w:tcPr>
          <w:p w14:paraId="601C2C08">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4513944B">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1FAA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9F4DF7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9</w:t>
            </w:r>
          </w:p>
        </w:tc>
        <w:tc>
          <w:tcPr>
            <w:tcW w:w="3079" w:type="dxa"/>
            <w:tcMar>
              <w:top w:w="0" w:type="dxa"/>
              <w:left w:w="108" w:type="dxa"/>
              <w:bottom w:w="0" w:type="dxa"/>
              <w:right w:w="108" w:type="dxa"/>
            </w:tcMar>
            <w:vAlign w:val="center"/>
          </w:tcPr>
          <w:p w14:paraId="65E0E462">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银行存款收入业务的学习</w:t>
            </w:r>
          </w:p>
        </w:tc>
        <w:tc>
          <w:tcPr>
            <w:tcW w:w="1980" w:type="dxa"/>
            <w:tcMar>
              <w:top w:w="0" w:type="dxa"/>
              <w:left w:w="108" w:type="dxa"/>
              <w:bottom w:w="0" w:type="dxa"/>
              <w:right w:w="108" w:type="dxa"/>
            </w:tcMar>
          </w:tcPr>
          <w:p w14:paraId="7002C0FB">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1B5DC7D3">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3DF3D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62BD5D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10</w:t>
            </w:r>
          </w:p>
        </w:tc>
        <w:tc>
          <w:tcPr>
            <w:tcW w:w="3079" w:type="dxa"/>
            <w:tcMar>
              <w:top w:w="0" w:type="dxa"/>
              <w:left w:w="108" w:type="dxa"/>
              <w:bottom w:w="0" w:type="dxa"/>
              <w:right w:w="108" w:type="dxa"/>
            </w:tcMar>
            <w:vAlign w:val="center"/>
          </w:tcPr>
          <w:p w14:paraId="306D9B12">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期中考试</w:t>
            </w:r>
          </w:p>
        </w:tc>
        <w:tc>
          <w:tcPr>
            <w:tcW w:w="1980" w:type="dxa"/>
            <w:tcMar>
              <w:top w:w="0" w:type="dxa"/>
              <w:left w:w="108" w:type="dxa"/>
              <w:bottom w:w="0" w:type="dxa"/>
              <w:right w:w="108" w:type="dxa"/>
            </w:tcMar>
          </w:tcPr>
          <w:p w14:paraId="646CD6E6">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39979B13">
            <w:pPr>
              <w:pStyle w:val="178"/>
              <w:spacing w:line="360" w:lineRule="exact"/>
              <w:jc w:val="center"/>
              <w:rPr>
                <w:rFonts w:asciiTheme="minorEastAsia" w:hAnsiTheme="minorEastAsia" w:eastAsiaTheme="minorEastAsia" w:cstheme="minorEastAsia"/>
                <w:snapToGrid w:val="0"/>
                <w:position w:val="-3"/>
                <w:lang w:eastAsia="en-US"/>
              </w:rPr>
            </w:pPr>
          </w:p>
        </w:tc>
      </w:tr>
      <w:tr w14:paraId="7181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9BFA62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11</w:t>
            </w:r>
          </w:p>
        </w:tc>
        <w:tc>
          <w:tcPr>
            <w:tcW w:w="3079" w:type="dxa"/>
            <w:tcMar>
              <w:top w:w="0" w:type="dxa"/>
              <w:left w:w="108" w:type="dxa"/>
              <w:bottom w:w="0" w:type="dxa"/>
              <w:right w:w="108" w:type="dxa"/>
            </w:tcMar>
            <w:vAlign w:val="center"/>
          </w:tcPr>
          <w:p w14:paraId="41DA1626">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银行存款支出业务的学习</w:t>
            </w:r>
          </w:p>
        </w:tc>
        <w:tc>
          <w:tcPr>
            <w:tcW w:w="1980" w:type="dxa"/>
            <w:tcMar>
              <w:top w:w="0" w:type="dxa"/>
              <w:left w:w="108" w:type="dxa"/>
              <w:bottom w:w="0" w:type="dxa"/>
              <w:right w:w="108" w:type="dxa"/>
            </w:tcMar>
          </w:tcPr>
          <w:p w14:paraId="1BA695E2">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2CF3CB99">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045E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8612CA5">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12</w:t>
            </w:r>
          </w:p>
        </w:tc>
        <w:tc>
          <w:tcPr>
            <w:tcW w:w="3079" w:type="dxa"/>
            <w:tcMar>
              <w:top w:w="0" w:type="dxa"/>
              <w:left w:w="108" w:type="dxa"/>
              <w:bottom w:w="0" w:type="dxa"/>
              <w:right w:w="108" w:type="dxa"/>
            </w:tcMar>
            <w:vAlign w:val="center"/>
          </w:tcPr>
          <w:p w14:paraId="0B84D408">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银行存款业务的基本工作程序</w:t>
            </w:r>
          </w:p>
        </w:tc>
        <w:tc>
          <w:tcPr>
            <w:tcW w:w="1980" w:type="dxa"/>
            <w:tcMar>
              <w:top w:w="0" w:type="dxa"/>
              <w:left w:w="108" w:type="dxa"/>
              <w:bottom w:w="0" w:type="dxa"/>
              <w:right w:w="108" w:type="dxa"/>
            </w:tcMar>
          </w:tcPr>
          <w:p w14:paraId="0520EEFA">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641C05E4">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03B5F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53AC5F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13</w:t>
            </w:r>
          </w:p>
        </w:tc>
        <w:tc>
          <w:tcPr>
            <w:tcW w:w="3079" w:type="dxa"/>
            <w:tcMar>
              <w:top w:w="0" w:type="dxa"/>
              <w:left w:w="108" w:type="dxa"/>
              <w:bottom w:w="0" w:type="dxa"/>
              <w:right w:w="108" w:type="dxa"/>
            </w:tcMar>
            <w:vAlign w:val="center"/>
          </w:tcPr>
          <w:p w14:paraId="306C9A3F">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银行存款业务的基本工作程序</w:t>
            </w:r>
          </w:p>
        </w:tc>
        <w:tc>
          <w:tcPr>
            <w:tcW w:w="1980" w:type="dxa"/>
            <w:tcMar>
              <w:top w:w="0" w:type="dxa"/>
              <w:left w:w="108" w:type="dxa"/>
              <w:bottom w:w="0" w:type="dxa"/>
              <w:right w:w="108" w:type="dxa"/>
            </w:tcMar>
          </w:tcPr>
          <w:p w14:paraId="4E09CCF9">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45D36822">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6DBFB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6F1656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14</w:t>
            </w:r>
          </w:p>
        </w:tc>
        <w:tc>
          <w:tcPr>
            <w:tcW w:w="3079" w:type="dxa"/>
            <w:tcMar>
              <w:top w:w="0" w:type="dxa"/>
              <w:left w:w="108" w:type="dxa"/>
              <w:bottom w:w="0" w:type="dxa"/>
              <w:right w:w="108" w:type="dxa"/>
            </w:tcMar>
            <w:vAlign w:val="center"/>
          </w:tcPr>
          <w:p w14:paraId="55498918">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银行转账结算业务处理训练</w:t>
            </w:r>
          </w:p>
        </w:tc>
        <w:tc>
          <w:tcPr>
            <w:tcW w:w="1980" w:type="dxa"/>
            <w:tcMar>
              <w:top w:w="0" w:type="dxa"/>
              <w:left w:w="108" w:type="dxa"/>
              <w:bottom w:w="0" w:type="dxa"/>
              <w:right w:w="108" w:type="dxa"/>
            </w:tcMar>
          </w:tcPr>
          <w:p w14:paraId="231A8EE6">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7B9F74AB">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1A3C8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C9168C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15</w:t>
            </w:r>
          </w:p>
        </w:tc>
        <w:tc>
          <w:tcPr>
            <w:tcW w:w="3079" w:type="dxa"/>
            <w:tcMar>
              <w:top w:w="0" w:type="dxa"/>
              <w:left w:w="108" w:type="dxa"/>
              <w:bottom w:w="0" w:type="dxa"/>
              <w:right w:w="108" w:type="dxa"/>
            </w:tcMar>
            <w:vAlign w:val="center"/>
          </w:tcPr>
          <w:p w14:paraId="7460BC27">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银行转账结算业务处理训练</w:t>
            </w:r>
          </w:p>
        </w:tc>
        <w:tc>
          <w:tcPr>
            <w:tcW w:w="1980" w:type="dxa"/>
            <w:tcMar>
              <w:top w:w="0" w:type="dxa"/>
              <w:left w:w="108" w:type="dxa"/>
              <w:bottom w:w="0" w:type="dxa"/>
              <w:right w:w="108" w:type="dxa"/>
            </w:tcMar>
          </w:tcPr>
          <w:p w14:paraId="6D7C2D3E">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3AE8B579">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75C04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349A6E7">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16</w:t>
            </w:r>
          </w:p>
        </w:tc>
        <w:tc>
          <w:tcPr>
            <w:tcW w:w="3079" w:type="dxa"/>
            <w:tcMar>
              <w:top w:w="0" w:type="dxa"/>
              <w:left w:w="108" w:type="dxa"/>
              <w:bottom w:w="0" w:type="dxa"/>
              <w:right w:w="108" w:type="dxa"/>
            </w:tcMar>
            <w:vAlign w:val="center"/>
          </w:tcPr>
          <w:p w14:paraId="6A7A0533">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银行转账结算业务处理训练</w:t>
            </w:r>
          </w:p>
        </w:tc>
        <w:tc>
          <w:tcPr>
            <w:tcW w:w="1980" w:type="dxa"/>
            <w:tcMar>
              <w:top w:w="0" w:type="dxa"/>
              <w:left w:w="108" w:type="dxa"/>
              <w:bottom w:w="0" w:type="dxa"/>
              <w:right w:w="108" w:type="dxa"/>
            </w:tcMar>
          </w:tcPr>
          <w:p w14:paraId="4DCDD9BA">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1BB3921D">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44F9A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020360F">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17</w:t>
            </w:r>
          </w:p>
        </w:tc>
        <w:tc>
          <w:tcPr>
            <w:tcW w:w="3079" w:type="dxa"/>
            <w:tcMar>
              <w:top w:w="0" w:type="dxa"/>
              <w:left w:w="108" w:type="dxa"/>
              <w:bottom w:w="0" w:type="dxa"/>
              <w:right w:w="108" w:type="dxa"/>
            </w:tcMar>
            <w:vAlign w:val="center"/>
          </w:tcPr>
          <w:p w14:paraId="6A3E9744">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银行转账结算业务处理训练</w:t>
            </w:r>
          </w:p>
        </w:tc>
        <w:tc>
          <w:tcPr>
            <w:tcW w:w="1980" w:type="dxa"/>
            <w:tcMar>
              <w:top w:w="0" w:type="dxa"/>
              <w:left w:w="108" w:type="dxa"/>
              <w:bottom w:w="0" w:type="dxa"/>
              <w:right w:w="108" w:type="dxa"/>
            </w:tcMar>
          </w:tcPr>
          <w:p w14:paraId="1D66A2E7">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7B34AFED">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0352F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03A5596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18</w:t>
            </w:r>
          </w:p>
        </w:tc>
        <w:tc>
          <w:tcPr>
            <w:tcW w:w="3079" w:type="dxa"/>
            <w:tcMar>
              <w:top w:w="0" w:type="dxa"/>
              <w:left w:w="108" w:type="dxa"/>
              <w:bottom w:w="0" w:type="dxa"/>
              <w:right w:w="108" w:type="dxa"/>
            </w:tcMar>
            <w:vAlign w:val="center"/>
          </w:tcPr>
          <w:p w14:paraId="3F10EACF">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出纳员岗位综合训练</w:t>
            </w:r>
          </w:p>
        </w:tc>
        <w:tc>
          <w:tcPr>
            <w:tcW w:w="1980" w:type="dxa"/>
            <w:tcMar>
              <w:top w:w="0" w:type="dxa"/>
              <w:left w:w="108" w:type="dxa"/>
              <w:bottom w:w="0" w:type="dxa"/>
              <w:right w:w="108" w:type="dxa"/>
            </w:tcMar>
          </w:tcPr>
          <w:p w14:paraId="6915F23B">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5FDE197C">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57E7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755237E">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19</w:t>
            </w:r>
          </w:p>
        </w:tc>
        <w:tc>
          <w:tcPr>
            <w:tcW w:w="3079" w:type="dxa"/>
            <w:tcMar>
              <w:top w:w="0" w:type="dxa"/>
              <w:left w:w="108" w:type="dxa"/>
              <w:bottom w:w="0" w:type="dxa"/>
              <w:right w:w="108" w:type="dxa"/>
            </w:tcMar>
            <w:vAlign w:val="center"/>
          </w:tcPr>
          <w:p w14:paraId="19574F2E">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出纳员岗位综合训练</w:t>
            </w:r>
          </w:p>
        </w:tc>
        <w:tc>
          <w:tcPr>
            <w:tcW w:w="1980" w:type="dxa"/>
            <w:tcMar>
              <w:top w:w="0" w:type="dxa"/>
              <w:left w:w="108" w:type="dxa"/>
              <w:bottom w:w="0" w:type="dxa"/>
              <w:right w:w="108" w:type="dxa"/>
            </w:tcMar>
          </w:tcPr>
          <w:p w14:paraId="1819A501">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3850464E">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讲授</w:t>
            </w:r>
          </w:p>
        </w:tc>
      </w:tr>
      <w:tr w14:paraId="6E1CD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A451A0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20</w:t>
            </w:r>
          </w:p>
        </w:tc>
        <w:tc>
          <w:tcPr>
            <w:tcW w:w="3079" w:type="dxa"/>
            <w:tcMar>
              <w:top w:w="0" w:type="dxa"/>
              <w:left w:w="108" w:type="dxa"/>
              <w:bottom w:w="0" w:type="dxa"/>
              <w:right w:w="108" w:type="dxa"/>
            </w:tcMar>
            <w:vAlign w:val="center"/>
          </w:tcPr>
          <w:p w14:paraId="5CC8706D">
            <w:pPr>
              <w:pStyle w:val="178"/>
              <w:spacing w:line="360" w:lineRule="exact"/>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期末考试</w:t>
            </w:r>
          </w:p>
        </w:tc>
        <w:tc>
          <w:tcPr>
            <w:tcW w:w="1980" w:type="dxa"/>
            <w:tcMar>
              <w:top w:w="0" w:type="dxa"/>
              <w:left w:w="108" w:type="dxa"/>
              <w:bottom w:w="0" w:type="dxa"/>
              <w:right w:w="108" w:type="dxa"/>
            </w:tcMar>
          </w:tcPr>
          <w:p w14:paraId="1726F940">
            <w:pPr>
              <w:pStyle w:val="178"/>
              <w:spacing w:line="360" w:lineRule="exact"/>
              <w:jc w:val="center"/>
              <w:rPr>
                <w:rFonts w:asciiTheme="minorEastAsia" w:hAnsiTheme="minorEastAsia" w:eastAsiaTheme="minorEastAsia" w:cstheme="minorEastAsia"/>
                <w:snapToGrid w:val="0"/>
                <w:position w:val="-3"/>
                <w:lang w:eastAsia="en-US"/>
              </w:rPr>
            </w:pPr>
            <w:r>
              <w:rPr>
                <w:rFonts w:hint="eastAsia" w:asciiTheme="minorEastAsia" w:hAnsiTheme="minorEastAsia" w:eastAsiaTheme="minorEastAsia" w:cstheme="minorEastAsia"/>
                <w:snapToGrid w:val="0"/>
                <w:position w:val="-3"/>
                <w:lang w:eastAsia="en-US"/>
              </w:rPr>
              <w:t>2</w:t>
            </w:r>
          </w:p>
        </w:tc>
        <w:tc>
          <w:tcPr>
            <w:tcW w:w="2182" w:type="dxa"/>
            <w:tcMar>
              <w:top w:w="0" w:type="dxa"/>
              <w:left w:w="108" w:type="dxa"/>
              <w:bottom w:w="0" w:type="dxa"/>
              <w:right w:w="108" w:type="dxa"/>
            </w:tcMar>
          </w:tcPr>
          <w:p w14:paraId="5919DBE7">
            <w:pPr>
              <w:pStyle w:val="178"/>
              <w:spacing w:line="360" w:lineRule="exact"/>
              <w:jc w:val="center"/>
              <w:rPr>
                <w:rFonts w:asciiTheme="minorEastAsia" w:hAnsiTheme="minorEastAsia" w:eastAsiaTheme="minorEastAsia" w:cstheme="minorEastAsia"/>
                <w:snapToGrid w:val="0"/>
                <w:position w:val="-3"/>
                <w:lang w:eastAsia="en-US"/>
              </w:rPr>
            </w:pPr>
          </w:p>
        </w:tc>
      </w:tr>
    </w:tbl>
    <w:p w14:paraId="724D540D"/>
    <w:p w14:paraId="1267D310">
      <w:pPr>
        <w:spacing w:line="400" w:lineRule="exact"/>
        <w:ind w:firstLine="480" w:firstLineChars="200"/>
        <w:rPr>
          <w:rFonts w:ascii="仿宋_GB2312" w:hAnsi="Times New Roman" w:eastAsia="仿宋_GB2312" w:cs="Times New Roman"/>
          <w:sz w:val="24"/>
          <w:szCs w:val="24"/>
        </w:rPr>
      </w:pPr>
    </w:p>
    <w:p w14:paraId="0D9309B8">
      <w:pPr>
        <w:rPr>
          <w:rFonts w:hint="eastAsia" w:ascii="黑体" w:hAnsi="黑体" w:eastAsia="黑体" w:cs="黑体"/>
          <w:sz w:val="30"/>
          <w:szCs w:val="30"/>
        </w:rPr>
      </w:pPr>
      <w:bookmarkStart w:id="175" w:name="_Toc4284"/>
      <w:bookmarkStart w:id="176" w:name="_Toc24362"/>
      <w:bookmarkStart w:id="177" w:name="_Toc3508"/>
      <w:r>
        <w:rPr>
          <w:rFonts w:hint="eastAsia" w:ascii="黑体" w:hAnsi="黑体" w:eastAsia="黑体" w:cs="黑体"/>
          <w:sz w:val="30"/>
          <w:szCs w:val="30"/>
        </w:rPr>
        <w:br w:type="page"/>
      </w:r>
    </w:p>
    <w:p w14:paraId="2A093A06">
      <w:pPr>
        <w:pStyle w:val="17"/>
        <w:spacing w:before="156" w:beforeLines="50" w:after="156" w:afterLines="50"/>
        <w:jc w:val="center"/>
        <w:outlineLvl w:val="2"/>
        <w:rPr>
          <w:rFonts w:ascii="黑体" w:hAnsi="黑体" w:eastAsia="黑体" w:cs="黑体"/>
          <w:sz w:val="30"/>
          <w:szCs w:val="30"/>
        </w:rPr>
      </w:pPr>
      <w:r>
        <w:rPr>
          <w:rFonts w:hint="eastAsia" w:ascii="黑体" w:hAnsi="黑体" w:eastAsia="黑体" w:cs="黑体"/>
          <w:sz w:val="30"/>
          <w:szCs w:val="30"/>
        </w:rPr>
        <w:t>成本会计课程标准</w:t>
      </w:r>
      <w:bookmarkEnd w:id="175"/>
      <w:bookmarkEnd w:id="176"/>
      <w:bookmarkEnd w:id="177"/>
    </w:p>
    <w:p w14:paraId="30E6EB2D">
      <w:pPr>
        <w:pStyle w:val="17"/>
        <w:spacing w:after="0" w:line="400" w:lineRule="exact"/>
        <w:ind w:firstLine="560" w:firstLineChars="200"/>
        <w:rPr>
          <w:rFonts w:ascii="楷体_GB2312" w:eastAsia="楷体_GB2312"/>
          <w:sz w:val="28"/>
          <w:szCs w:val="28"/>
        </w:rPr>
      </w:pPr>
    </w:p>
    <w:p w14:paraId="3C684F8C">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05F5E7FF">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成本会计》是会计专业开设的一门专业基础课，主要指企业将某一特定时期内在生产过程中所产生的一切经济费用，根据费用的性质、具体用途以及适用地点间的差异，对其进行分类收集、汇总以及核算等，从而得出企业在该特定时期内的成本总额与每种产品的单位成本等，进行预测、决策、控制、核算、分析和考核的价值管理活动。成本会计课程开设目的主要是为学生继续深入学习与理解会计成本核算打好基础，便于该专业学生对专业课程的学习，便于财务思维的形成与分析能力的提高。为进一步学习《税务会计》、《财务管理》等其他经管类专业课程和有关实训实践活动以及今后从事财会工作打下坚实的基础，培养出具有良好财务素养和较强职业能力的高素质人才。</w:t>
      </w:r>
    </w:p>
    <w:p w14:paraId="7EB3D6CD">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05A437FC">
      <w:pPr>
        <w:pStyle w:val="17"/>
        <w:spacing w:after="0" w:line="400" w:lineRule="exact"/>
        <w:ind w:firstLine="480" w:firstLineChars="200"/>
        <w:rPr>
          <w:sz w:val="24"/>
          <w:szCs w:val="24"/>
        </w:rPr>
      </w:pPr>
      <w:r>
        <w:rPr>
          <w:rFonts w:hint="eastAsia"/>
          <w:sz w:val="24"/>
          <w:szCs w:val="24"/>
        </w:rPr>
        <w:t>1</w:t>
      </w:r>
      <w:r>
        <w:rPr>
          <w:sz w:val="24"/>
          <w:szCs w:val="24"/>
        </w:rPr>
        <w:t>.素质目标</w:t>
      </w:r>
    </w:p>
    <w:p w14:paraId="57D0CBDC">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（1）具有较强的语言表达、职业沟通和团队合作能力；</w:t>
      </w:r>
    </w:p>
    <w:p w14:paraId="7A9F522F">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（2）具有良好的财务专业知识；</w:t>
      </w:r>
    </w:p>
    <w:p w14:paraId="4CF06CB0">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（3）具有良好的心理素质、诚信品质和社会责任感；</w:t>
      </w:r>
    </w:p>
    <w:p w14:paraId="34621DB5">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（4）具有踏实肯干的工作作风和主动、热情、耐心的服务意识；</w:t>
      </w:r>
    </w:p>
    <w:p w14:paraId="0D27DAE3">
      <w:pPr>
        <w:pStyle w:val="2"/>
        <w:spacing w:line="400" w:lineRule="exact"/>
        <w:ind w:firstLine="480"/>
        <w:rPr>
          <w:rFonts w:ascii="仿宋_GB2312" w:cs="仿宋_GB2312"/>
          <w:sz w:val="24"/>
          <w:szCs w:val="24"/>
        </w:rPr>
      </w:pPr>
      <w:r>
        <w:rPr>
          <w:rFonts w:hint="eastAsia" w:ascii="仿宋_GB2312" w:cs="仿宋_GB2312" w:hAnsiTheme="minorHAnsi"/>
          <w:sz w:val="24"/>
          <w:szCs w:val="24"/>
        </w:rPr>
        <w:t>（5）根据学习目标，具有开展业务实践能力。</w:t>
      </w:r>
    </w:p>
    <w:p w14:paraId="52509F68">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44EAC6BA">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（1）握成本的概念、内涵；掌握成本会计的内容；</w:t>
      </w:r>
    </w:p>
    <w:p w14:paraId="45384220">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（2）掌握有成本与费用的区别，未耗成本与已耗成本，支出成本与机会成本等概念；</w:t>
      </w:r>
    </w:p>
    <w:p w14:paraId="50C0D4AE">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（3）掌握成本会计的具体任务与职能；</w:t>
      </w:r>
    </w:p>
    <w:p w14:paraId="14A1CC12">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（4）掌握成本对象构成要素、成本分配的方法；</w:t>
      </w:r>
    </w:p>
    <w:p w14:paraId="1F71FA55">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（5）掌握成本计算方法；</w:t>
      </w:r>
    </w:p>
    <w:p w14:paraId="56695905">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（6）掌握成本会计编制；</w:t>
      </w:r>
    </w:p>
    <w:p w14:paraId="5CA00597">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（7）掌握成本会计的组织工作；</w:t>
      </w:r>
    </w:p>
    <w:p w14:paraId="64F1C58A">
      <w:pPr>
        <w:pStyle w:val="2"/>
        <w:spacing w:line="400" w:lineRule="exact"/>
        <w:ind w:firstLine="480"/>
        <w:rPr>
          <w:rFonts w:ascii="仿宋_GB2312" w:cs="仿宋_GB2312" w:hAnsiTheme="minorHAnsi"/>
          <w:sz w:val="24"/>
          <w:szCs w:val="24"/>
        </w:rPr>
      </w:pPr>
      <w:r>
        <w:rPr>
          <w:rFonts w:hint="eastAsia" w:ascii="仿宋_GB2312" w:cs="仿宋_GB2312" w:hAnsiTheme="minorHAnsi"/>
          <w:sz w:val="24"/>
          <w:szCs w:val="24"/>
        </w:rPr>
        <w:t>（8）掌握成本会计的基础工作。</w:t>
      </w:r>
    </w:p>
    <w:p w14:paraId="252D5B23">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79C9BF11">
      <w:pPr>
        <w:pStyle w:val="17"/>
        <w:spacing w:after="0" w:line="400" w:lineRule="exact"/>
        <w:ind w:firstLine="480" w:firstLineChars="200"/>
        <w:rPr>
          <w:rFonts w:ascii="仿宋_GB2312" w:cs="仿宋_GB2312" w:hAnsiTheme="minorHAnsi"/>
          <w:sz w:val="24"/>
          <w:szCs w:val="24"/>
        </w:rPr>
      </w:pPr>
      <w:r>
        <w:rPr>
          <w:rFonts w:hint="eastAsia" w:ascii="仿宋_GB2312" w:cs="仿宋_GB2312" w:hAnsiTheme="minorHAnsi"/>
          <w:sz w:val="24"/>
          <w:szCs w:val="24"/>
        </w:rPr>
        <w:t>本教材以全面提高学生综合素质为原则，强调以培养学生的能力为本位，培养学生分析和解决实际问题的能力；完成成本会计的学习。</w:t>
      </w:r>
    </w:p>
    <w:p w14:paraId="424465E9">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29C8269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7DB3638E">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001F347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2学分。</w:t>
      </w:r>
    </w:p>
    <w:p w14:paraId="4F494C5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7AC62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5E41DF62">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179D576B">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14A9EA0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7DABC465">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191ED77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76B4CAD1">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58AF5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06A5A05">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32EC2802">
            <w:pPr>
              <w:autoSpaceDE w:val="0"/>
              <w:autoSpaceDN w:val="0"/>
              <w:adjustRightInd w:val="0"/>
              <w:spacing w:line="400" w:lineRule="exact"/>
              <w:jc w:val="center"/>
              <w:rPr>
                <w:rFonts w:cs="仿宋_GB2312"/>
              </w:rPr>
            </w:pPr>
            <w:r>
              <w:rPr>
                <w:rFonts w:hint="eastAsia" w:cs="仿宋_GB2312"/>
              </w:rPr>
              <w:t>成本会计概述</w:t>
            </w:r>
          </w:p>
        </w:tc>
        <w:tc>
          <w:tcPr>
            <w:tcW w:w="2880" w:type="dxa"/>
            <w:vAlign w:val="center"/>
          </w:tcPr>
          <w:p w14:paraId="3A620C78">
            <w:pPr>
              <w:autoSpaceDE w:val="0"/>
              <w:autoSpaceDN w:val="0"/>
              <w:adjustRightInd w:val="0"/>
              <w:spacing w:line="400" w:lineRule="exact"/>
              <w:rPr>
                <w:rFonts w:cs="仿宋_GB2312"/>
              </w:rPr>
            </w:pPr>
            <w:r>
              <w:rPr>
                <w:rFonts w:hint="eastAsia" w:cs="仿宋_GB2312"/>
              </w:rPr>
              <w:t>1.了解成本的概念与内涵；</w:t>
            </w:r>
          </w:p>
          <w:p w14:paraId="5401DC07">
            <w:pPr>
              <w:autoSpaceDE w:val="0"/>
              <w:autoSpaceDN w:val="0"/>
              <w:adjustRightInd w:val="0"/>
              <w:spacing w:line="400" w:lineRule="exact"/>
              <w:rPr>
                <w:rFonts w:cs="仿宋_GB2312"/>
              </w:rPr>
            </w:pPr>
            <w:r>
              <w:rPr>
                <w:rFonts w:hint="eastAsia" w:cs="仿宋_GB2312"/>
              </w:rPr>
              <w:t>2.掌握成本会计的内容；</w:t>
            </w:r>
          </w:p>
          <w:p w14:paraId="7B799974">
            <w:pPr>
              <w:autoSpaceDE w:val="0"/>
              <w:autoSpaceDN w:val="0"/>
              <w:adjustRightInd w:val="0"/>
              <w:spacing w:line="400" w:lineRule="exact"/>
              <w:rPr>
                <w:rFonts w:cs="仿宋_GB2312"/>
              </w:rPr>
            </w:pPr>
            <w:r>
              <w:rPr>
                <w:rFonts w:hint="eastAsia" w:cs="仿宋_GB2312"/>
              </w:rPr>
              <w:t>3.了解</w:t>
            </w:r>
            <w:r>
              <w:fldChar w:fldCharType="begin"/>
            </w:r>
            <w:r>
              <w:instrText xml:space="preserve">HYPERLINK "https://baike.so.com/doc/6127214-6340374.html" \t "_blank"</w:instrText>
            </w:r>
            <w:r>
              <w:fldChar w:fldCharType="separate"/>
            </w:r>
            <w:r>
              <w:rPr>
                <w:rFonts w:hint="eastAsia" w:cs="仿宋_GB2312"/>
              </w:rPr>
              <w:t>成本预测</w:t>
            </w:r>
            <w:r>
              <w:rPr>
                <w:rFonts w:cs="仿宋_GB2312"/>
              </w:rPr>
              <w:fldChar w:fldCharType="end"/>
            </w:r>
            <w:r>
              <w:rPr>
                <w:rFonts w:hint="eastAsia" w:cs="仿宋_GB2312"/>
              </w:rPr>
              <w:t>、</w:t>
            </w:r>
            <w:r>
              <w:fldChar w:fldCharType="begin"/>
            </w:r>
            <w:r>
              <w:instrText xml:space="preserve"> HYPERLINK "https://baike.so.com/doc/9635757-9981518.html" \t "_blank" </w:instrText>
            </w:r>
            <w:r>
              <w:fldChar w:fldCharType="separate"/>
            </w:r>
            <w:r>
              <w:rPr>
                <w:rFonts w:hint="eastAsia" w:cs="仿宋_GB2312"/>
              </w:rPr>
              <w:t>成本决策</w:t>
            </w:r>
            <w:r>
              <w:rPr>
                <w:rFonts w:hint="eastAsia" w:cs="仿宋_GB2312"/>
              </w:rPr>
              <w:fldChar w:fldCharType="end"/>
            </w:r>
            <w:r>
              <w:rPr>
                <w:rFonts w:hint="eastAsia" w:cs="仿宋_GB2312"/>
              </w:rPr>
              <w:t>、</w:t>
            </w:r>
            <w:r>
              <w:fldChar w:fldCharType="begin"/>
            </w:r>
            <w:r>
              <w:instrText xml:space="preserve"> HYPERLINK "https://baike.so.com/doc/6127105-6340265.html" \t "_blank" </w:instrText>
            </w:r>
            <w:r>
              <w:fldChar w:fldCharType="separate"/>
            </w:r>
            <w:r>
              <w:rPr>
                <w:rFonts w:hint="eastAsia" w:cs="仿宋_GB2312"/>
              </w:rPr>
              <w:t>成本计划</w:t>
            </w:r>
            <w:r>
              <w:rPr>
                <w:rFonts w:hint="eastAsia" w:cs="仿宋_GB2312"/>
              </w:rPr>
              <w:fldChar w:fldCharType="end"/>
            </w:r>
            <w:r>
              <w:rPr>
                <w:rFonts w:hint="eastAsia" w:cs="仿宋_GB2312"/>
              </w:rPr>
              <w:t>、成本控制、</w:t>
            </w:r>
            <w:r>
              <w:fldChar w:fldCharType="begin"/>
            </w:r>
            <w:r>
              <w:instrText xml:space="preserve"> HYPERLINK "https://baike.so.com/doc/5018485-5244107.html" \t "_blank" </w:instrText>
            </w:r>
            <w:r>
              <w:fldChar w:fldCharType="separate"/>
            </w:r>
            <w:r>
              <w:rPr>
                <w:rFonts w:hint="eastAsia" w:cs="仿宋_GB2312"/>
              </w:rPr>
              <w:t>成本核算</w:t>
            </w:r>
            <w:r>
              <w:rPr>
                <w:rFonts w:hint="eastAsia" w:cs="仿宋_GB2312"/>
              </w:rPr>
              <w:fldChar w:fldCharType="end"/>
            </w:r>
            <w:r>
              <w:rPr>
                <w:rFonts w:hint="eastAsia" w:cs="仿宋_GB2312"/>
              </w:rPr>
              <w:t>、</w:t>
            </w:r>
            <w:r>
              <w:fldChar w:fldCharType="begin"/>
            </w:r>
            <w:r>
              <w:instrText xml:space="preserve"> HYPERLINK "https://baike.so.com/doc/1927818-2039544.html" \t "_blank" </w:instrText>
            </w:r>
            <w:r>
              <w:fldChar w:fldCharType="separate"/>
            </w:r>
            <w:r>
              <w:rPr>
                <w:rFonts w:hint="eastAsia" w:cs="仿宋_GB2312"/>
              </w:rPr>
              <w:t>成本分析</w:t>
            </w:r>
            <w:r>
              <w:rPr>
                <w:rFonts w:hint="eastAsia" w:cs="仿宋_GB2312"/>
              </w:rPr>
              <w:fldChar w:fldCharType="end"/>
            </w:r>
            <w:r>
              <w:rPr>
                <w:rFonts w:hint="eastAsia" w:cs="仿宋_GB2312"/>
              </w:rPr>
              <w:t>、</w:t>
            </w:r>
            <w:r>
              <w:fldChar w:fldCharType="begin"/>
            </w:r>
            <w:r>
              <w:instrText xml:space="preserve"> HYPERLINK "https://baike.so.com/doc/6127092-6340252.html" \t "_blank" </w:instrText>
            </w:r>
            <w:r>
              <w:fldChar w:fldCharType="separate"/>
            </w:r>
            <w:r>
              <w:rPr>
                <w:rFonts w:hint="eastAsia" w:cs="仿宋_GB2312"/>
              </w:rPr>
              <w:t>成本考核</w:t>
            </w:r>
            <w:r>
              <w:rPr>
                <w:rFonts w:hint="eastAsia" w:cs="仿宋_GB2312"/>
              </w:rPr>
              <w:fldChar w:fldCharType="end"/>
            </w:r>
            <w:r>
              <w:rPr>
                <w:rFonts w:hint="eastAsia" w:cs="仿宋_GB2312"/>
              </w:rPr>
              <w:t>、</w:t>
            </w:r>
            <w:r>
              <w:fldChar w:fldCharType="begin"/>
            </w:r>
            <w:r>
              <w:instrText xml:space="preserve"> HYPERLINK "https://baike.so.com/doc/755285-799404.html" \t "_blank" </w:instrText>
            </w:r>
            <w:r>
              <w:fldChar w:fldCharType="separate"/>
            </w:r>
            <w:r>
              <w:rPr>
                <w:rFonts w:hint="eastAsia" w:cs="仿宋_GB2312"/>
              </w:rPr>
              <w:t>成本检查</w:t>
            </w:r>
            <w:r>
              <w:rPr>
                <w:rFonts w:hint="eastAsia" w:cs="仿宋_GB2312"/>
              </w:rPr>
              <w:fldChar w:fldCharType="end"/>
            </w:r>
            <w:r>
              <w:rPr>
                <w:rFonts w:hint="eastAsia" w:cs="仿宋_GB2312"/>
              </w:rPr>
              <w:t>的概念。</w:t>
            </w:r>
          </w:p>
        </w:tc>
        <w:tc>
          <w:tcPr>
            <w:tcW w:w="2682" w:type="dxa"/>
            <w:vAlign w:val="center"/>
          </w:tcPr>
          <w:p w14:paraId="089191F0">
            <w:pPr>
              <w:autoSpaceDE w:val="0"/>
              <w:autoSpaceDN w:val="0"/>
              <w:adjustRightInd w:val="0"/>
              <w:spacing w:line="400" w:lineRule="exact"/>
              <w:rPr>
                <w:rFonts w:cs="仿宋_GB2312"/>
              </w:rPr>
            </w:pPr>
            <w:r>
              <w:rPr>
                <w:rFonts w:hint="eastAsia" w:cs="仿宋_GB2312"/>
              </w:rPr>
              <w:t>1.多媒体演示，了解成本的概念与内涵；</w:t>
            </w:r>
          </w:p>
          <w:p w14:paraId="79C5CB9E">
            <w:pPr>
              <w:autoSpaceDE w:val="0"/>
              <w:autoSpaceDN w:val="0"/>
              <w:adjustRightInd w:val="0"/>
              <w:spacing w:line="400" w:lineRule="exact"/>
              <w:rPr>
                <w:rFonts w:cs="仿宋_GB2312"/>
              </w:rPr>
            </w:pPr>
            <w:r>
              <w:rPr>
                <w:rFonts w:hint="eastAsia" w:cs="仿宋_GB2312"/>
              </w:rPr>
              <w:t>2.通过实物或者图片展示《中华人民共和国会计法》《会计基础工作规范》等资料，通过典型案例感受成本会计的重要性。</w:t>
            </w:r>
          </w:p>
          <w:p w14:paraId="15C7E1C4">
            <w:pPr>
              <w:autoSpaceDE w:val="0"/>
              <w:autoSpaceDN w:val="0"/>
              <w:adjustRightInd w:val="0"/>
              <w:spacing w:line="400" w:lineRule="exact"/>
              <w:rPr>
                <w:rFonts w:cs="仿宋_GB2312"/>
              </w:rPr>
            </w:pPr>
            <w:r>
              <w:rPr>
                <w:rFonts w:hint="eastAsia" w:cs="仿宋_GB2312"/>
              </w:rPr>
              <w:t>3.理解成本会计的概念和作用，激发学生的时代责任感。</w:t>
            </w:r>
          </w:p>
        </w:tc>
        <w:tc>
          <w:tcPr>
            <w:tcW w:w="724" w:type="dxa"/>
            <w:vAlign w:val="center"/>
          </w:tcPr>
          <w:p w14:paraId="14BE90BB">
            <w:pPr>
              <w:autoSpaceDE w:val="0"/>
              <w:autoSpaceDN w:val="0"/>
              <w:adjustRightInd w:val="0"/>
              <w:spacing w:line="400" w:lineRule="exact"/>
              <w:ind w:firstLine="210" w:firstLineChars="100"/>
              <w:rPr>
                <w:rFonts w:cs="仿宋_GB2312"/>
              </w:rPr>
            </w:pPr>
            <w:r>
              <w:rPr>
                <w:rFonts w:hint="eastAsia" w:cs="仿宋_GB2312"/>
              </w:rPr>
              <w:t>2</w:t>
            </w:r>
          </w:p>
        </w:tc>
      </w:tr>
      <w:tr w14:paraId="74965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4D643A4">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3D69051D">
            <w:pPr>
              <w:autoSpaceDE w:val="0"/>
              <w:autoSpaceDN w:val="0"/>
              <w:adjustRightInd w:val="0"/>
              <w:spacing w:line="400" w:lineRule="exact"/>
              <w:jc w:val="center"/>
              <w:rPr>
                <w:rFonts w:cs="仿宋_GB2312"/>
              </w:rPr>
            </w:pPr>
            <w:r>
              <w:rPr>
                <w:rFonts w:hint="eastAsia" w:cs="仿宋_GB2312"/>
              </w:rPr>
              <w:t>成本会计相关概念</w:t>
            </w:r>
          </w:p>
        </w:tc>
        <w:tc>
          <w:tcPr>
            <w:tcW w:w="2880" w:type="dxa"/>
            <w:vAlign w:val="center"/>
          </w:tcPr>
          <w:p w14:paraId="3FBF518F">
            <w:pPr>
              <w:autoSpaceDE w:val="0"/>
              <w:autoSpaceDN w:val="0"/>
              <w:adjustRightInd w:val="0"/>
              <w:spacing w:line="400" w:lineRule="exact"/>
              <w:rPr>
                <w:rFonts w:cs="仿宋_GB2312"/>
              </w:rPr>
            </w:pPr>
            <w:r>
              <w:rPr>
                <w:rFonts w:hint="eastAsia" w:cs="仿宋_GB2312"/>
              </w:rPr>
              <w:t>1.了解成本与费用的区别；</w:t>
            </w:r>
          </w:p>
          <w:p w14:paraId="717A423B">
            <w:pPr>
              <w:autoSpaceDE w:val="0"/>
              <w:autoSpaceDN w:val="0"/>
              <w:adjustRightInd w:val="0"/>
              <w:spacing w:line="400" w:lineRule="exact"/>
              <w:rPr>
                <w:rFonts w:cs="仿宋_GB2312"/>
              </w:rPr>
            </w:pPr>
            <w:r>
              <w:rPr>
                <w:rFonts w:hint="eastAsia" w:cs="仿宋_GB2312"/>
              </w:rPr>
              <w:t>2.了解未耗成本与已耗成本的概念；</w:t>
            </w:r>
          </w:p>
          <w:p w14:paraId="12CCBC25">
            <w:pPr>
              <w:autoSpaceDE w:val="0"/>
              <w:autoSpaceDN w:val="0"/>
              <w:adjustRightInd w:val="0"/>
              <w:spacing w:line="400" w:lineRule="exact"/>
              <w:rPr>
                <w:rFonts w:cs="仿宋_GB2312"/>
              </w:rPr>
            </w:pPr>
            <w:r>
              <w:rPr>
                <w:rFonts w:hint="eastAsia" w:cs="仿宋_GB2312"/>
              </w:rPr>
              <w:t>3.了解支出成本与机会成本概念。</w:t>
            </w:r>
          </w:p>
        </w:tc>
        <w:tc>
          <w:tcPr>
            <w:tcW w:w="2682" w:type="dxa"/>
            <w:vAlign w:val="center"/>
          </w:tcPr>
          <w:p w14:paraId="15A98B44">
            <w:pPr>
              <w:autoSpaceDE w:val="0"/>
              <w:autoSpaceDN w:val="0"/>
              <w:adjustRightInd w:val="0"/>
              <w:spacing w:line="400" w:lineRule="exact"/>
              <w:rPr>
                <w:rFonts w:cs="仿宋_GB2312"/>
              </w:rPr>
            </w:pPr>
            <w:r>
              <w:rPr>
                <w:rFonts w:hint="eastAsia" w:cs="仿宋_GB2312"/>
              </w:rPr>
              <w:t>1.通过案例，指导学生判断成本与费用；</w:t>
            </w:r>
          </w:p>
          <w:p w14:paraId="3E24A9F9">
            <w:pPr>
              <w:autoSpaceDE w:val="0"/>
              <w:autoSpaceDN w:val="0"/>
              <w:adjustRightInd w:val="0"/>
              <w:spacing w:line="400" w:lineRule="exact"/>
              <w:rPr>
                <w:rFonts w:cs="仿宋_GB2312"/>
              </w:rPr>
            </w:pPr>
            <w:r>
              <w:rPr>
                <w:rFonts w:hint="eastAsia" w:cs="仿宋_GB2312"/>
              </w:rPr>
              <w:t>2.举例，引导学生判断未耗成本与与已耗成本，支出成本与机会成本。</w:t>
            </w:r>
          </w:p>
          <w:p w14:paraId="12B8EAE1">
            <w:pPr>
              <w:autoSpaceDE w:val="0"/>
              <w:autoSpaceDN w:val="0"/>
              <w:adjustRightInd w:val="0"/>
              <w:spacing w:line="400" w:lineRule="exact"/>
              <w:rPr>
                <w:rFonts w:cs="仿宋_GB2312"/>
              </w:rPr>
            </w:pPr>
            <w:r>
              <w:rPr>
                <w:rFonts w:hint="eastAsia" w:cs="仿宋_GB2312"/>
              </w:rPr>
              <w:t>3.培养学生专业的职业判断能力，细心做事，勇于承担责任。</w:t>
            </w:r>
          </w:p>
        </w:tc>
        <w:tc>
          <w:tcPr>
            <w:tcW w:w="724" w:type="dxa"/>
            <w:vAlign w:val="center"/>
          </w:tcPr>
          <w:p w14:paraId="237807C6">
            <w:pPr>
              <w:autoSpaceDE w:val="0"/>
              <w:autoSpaceDN w:val="0"/>
              <w:adjustRightInd w:val="0"/>
              <w:spacing w:line="400" w:lineRule="exact"/>
              <w:ind w:firstLine="210" w:firstLineChars="100"/>
              <w:rPr>
                <w:rFonts w:cs="仿宋_GB2312"/>
              </w:rPr>
            </w:pPr>
            <w:r>
              <w:rPr>
                <w:rFonts w:hint="eastAsia" w:cs="仿宋_GB2312"/>
              </w:rPr>
              <w:t>2</w:t>
            </w:r>
          </w:p>
        </w:tc>
      </w:tr>
      <w:tr w14:paraId="4C743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D4C1056">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0EB1E9F5">
            <w:pPr>
              <w:autoSpaceDE w:val="0"/>
              <w:autoSpaceDN w:val="0"/>
              <w:adjustRightInd w:val="0"/>
              <w:spacing w:line="400" w:lineRule="exact"/>
              <w:jc w:val="center"/>
              <w:rPr>
                <w:rFonts w:cs="仿宋_GB2312"/>
              </w:rPr>
            </w:pPr>
            <w:r>
              <w:rPr>
                <w:rFonts w:hint="eastAsia" w:cs="仿宋_GB2312"/>
              </w:rPr>
              <w:t>成本会计的具体任务与职能</w:t>
            </w:r>
          </w:p>
        </w:tc>
        <w:tc>
          <w:tcPr>
            <w:tcW w:w="2880" w:type="dxa"/>
            <w:vAlign w:val="center"/>
          </w:tcPr>
          <w:p w14:paraId="00CA53F7">
            <w:pPr>
              <w:autoSpaceDE w:val="0"/>
              <w:autoSpaceDN w:val="0"/>
              <w:adjustRightInd w:val="0"/>
              <w:spacing w:line="400" w:lineRule="exact"/>
              <w:rPr>
                <w:rFonts w:cs="仿宋_GB2312"/>
              </w:rPr>
            </w:pPr>
            <w:r>
              <w:rPr>
                <w:rFonts w:hint="eastAsia" w:cs="仿宋_GB2312"/>
              </w:rPr>
              <w:t>1.掌握成本会计的具体任务，能够正确计算成本，优化成本决策，加强成本控制，建立成本责任制度；</w:t>
            </w:r>
          </w:p>
          <w:p w14:paraId="09872BBA">
            <w:pPr>
              <w:autoSpaceDE w:val="0"/>
              <w:autoSpaceDN w:val="0"/>
              <w:adjustRightInd w:val="0"/>
              <w:spacing w:line="400" w:lineRule="exact"/>
              <w:rPr>
                <w:rFonts w:cs="仿宋_GB2312"/>
              </w:rPr>
            </w:pPr>
            <w:r>
              <w:rPr>
                <w:rFonts w:hint="eastAsia" w:cs="仿宋_GB2312"/>
              </w:rPr>
              <w:t>2.掌握成本会计的职能。</w:t>
            </w:r>
          </w:p>
        </w:tc>
        <w:tc>
          <w:tcPr>
            <w:tcW w:w="2682" w:type="dxa"/>
            <w:vAlign w:val="center"/>
          </w:tcPr>
          <w:p w14:paraId="3F94FE9F">
            <w:pPr>
              <w:autoSpaceDE w:val="0"/>
              <w:autoSpaceDN w:val="0"/>
              <w:adjustRightInd w:val="0"/>
              <w:spacing w:line="400" w:lineRule="exact"/>
              <w:rPr>
                <w:rFonts w:cs="仿宋_GB2312"/>
              </w:rPr>
            </w:pPr>
            <w:r>
              <w:rPr>
                <w:rFonts w:hint="eastAsia" w:cs="仿宋_GB2312"/>
              </w:rPr>
              <w:t>1.通过多媒体课件，指导学生掌握成本会计的任务；</w:t>
            </w:r>
          </w:p>
          <w:p w14:paraId="5C38588B">
            <w:pPr>
              <w:autoSpaceDE w:val="0"/>
              <w:autoSpaceDN w:val="0"/>
              <w:adjustRightInd w:val="0"/>
              <w:spacing w:line="400" w:lineRule="exact"/>
              <w:rPr>
                <w:rFonts w:cs="仿宋_GB2312"/>
              </w:rPr>
            </w:pPr>
            <w:r>
              <w:rPr>
                <w:rFonts w:hint="eastAsia" w:cs="仿宋_GB2312"/>
              </w:rPr>
              <w:t>2.引导学生判断成本会计的反映职能、计划与预算职能、控制职能、分析与评价职能。</w:t>
            </w:r>
          </w:p>
          <w:p w14:paraId="39F0344B">
            <w:pPr>
              <w:autoSpaceDE w:val="0"/>
              <w:autoSpaceDN w:val="0"/>
              <w:adjustRightInd w:val="0"/>
              <w:spacing w:line="400" w:lineRule="exact"/>
              <w:rPr>
                <w:rFonts w:cs="仿宋_GB2312"/>
              </w:rPr>
            </w:pPr>
            <w:r>
              <w:rPr>
                <w:rFonts w:hint="eastAsia" w:cs="仿宋_GB2312"/>
              </w:rPr>
              <w:t>3.培养学生遵纪守法的意识，做任何事都要讲原则，公平客观，诚实守信。</w:t>
            </w:r>
          </w:p>
        </w:tc>
        <w:tc>
          <w:tcPr>
            <w:tcW w:w="724" w:type="dxa"/>
            <w:vAlign w:val="center"/>
          </w:tcPr>
          <w:p w14:paraId="320FAD5E">
            <w:pPr>
              <w:autoSpaceDE w:val="0"/>
              <w:autoSpaceDN w:val="0"/>
              <w:adjustRightInd w:val="0"/>
              <w:spacing w:line="400" w:lineRule="exact"/>
              <w:ind w:firstLine="210" w:firstLineChars="100"/>
              <w:rPr>
                <w:rFonts w:cs="仿宋_GB2312"/>
              </w:rPr>
            </w:pPr>
            <w:r>
              <w:rPr>
                <w:rFonts w:hint="eastAsia" w:cs="仿宋_GB2312"/>
              </w:rPr>
              <w:t>2</w:t>
            </w:r>
          </w:p>
        </w:tc>
      </w:tr>
      <w:tr w14:paraId="4C9AA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4D48F7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2B946216">
            <w:pPr>
              <w:adjustRightInd w:val="0"/>
              <w:jc w:val="center"/>
              <w:rPr>
                <w:rFonts w:cs="Times New Roman" w:asciiTheme="minorEastAsia" w:hAnsiTheme="minorEastAsia"/>
              </w:rPr>
            </w:pPr>
            <w:r>
              <w:rPr>
                <w:rFonts w:hint="eastAsia" w:ascii="Arial" w:hAnsi="Arial"/>
                <w:bCs/>
                <w:color w:val="000000"/>
              </w:rPr>
              <w:t>成本对象构成要素、成本分配的方法</w:t>
            </w:r>
          </w:p>
        </w:tc>
        <w:tc>
          <w:tcPr>
            <w:tcW w:w="2880" w:type="dxa"/>
            <w:vAlign w:val="center"/>
          </w:tcPr>
          <w:p w14:paraId="5A0C188C">
            <w:pPr>
              <w:spacing w:line="360" w:lineRule="exact"/>
              <w:rPr>
                <w:rFonts w:cs="Times New Roman" w:asciiTheme="minorEastAsia" w:hAnsiTheme="minorEastAsia"/>
              </w:rPr>
            </w:pPr>
            <w:r>
              <w:rPr>
                <w:rFonts w:cs="Times New Roman" w:asciiTheme="minorEastAsia" w:hAnsiTheme="minorEastAsia"/>
              </w:rPr>
              <w:t>1.</w:t>
            </w:r>
            <w:r>
              <w:rPr>
                <w:rFonts w:hint="eastAsia" w:cs="Times New Roman" w:asciiTheme="minorEastAsia" w:hAnsiTheme="minorEastAsia"/>
              </w:rPr>
              <w:t>了解成本对象的构成要素；</w:t>
            </w:r>
          </w:p>
          <w:p w14:paraId="21EDC5C2">
            <w:pPr>
              <w:widowControl/>
            </w:pPr>
            <w:r>
              <w:rPr>
                <w:rFonts w:cs="Times New Roman" w:asciiTheme="minorEastAsia" w:hAnsiTheme="minorEastAsia"/>
              </w:rPr>
              <w:t>2.</w:t>
            </w:r>
            <w:r>
              <w:rPr>
                <w:rFonts w:hint="eastAsia" w:cs="Times New Roman" w:asciiTheme="minorEastAsia" w:hAnsiTheme="minorEastAsia"/>
              </w:rPr>
              <w:t>掌握成本分配的方法。</w:t>
            </w:r>
          </w:p>
        </w:tc>
        <w:tc>
          <w:tcPr>
            <w:tcW w:w="2682" w:type="dxa"/>
            <w:vAlign w:val="center"/>
          </w:tcPr>
          <w:p w14:paraId="1F40B2BC">
            <w:pPr>
              <w:widowControl/>
            </w:pPr>
            <w:r>
              <w:rPr>
                <w:rFonts w:hint="eastAsia"/>
              </w:rPr>
              <w:t>1.通过多媒体课件，指导学生识别并掌握成本对象的构成要素；</w:t>
            </w:r>
          </w:p>
          <w:p w14:paraId="4C7ABBAE">
            <w:pPr>
              <w:widowControl/>
            </w:pPr>
            <w:r>
              <w:rPr>
                <w:rFonts w:hint="eastAsia"/>
              </w:rPr>
              <w:t>2.引导学生掌握成本分配的方法。</w:t>
            </w:r>
          </w:p>
          <w:p w14:paraId="722FA20E">
            <w:pPr>
              <w:widowControl/>
            </w:pPr>
            <w:r>
              <w:rPr>
                <w:rFonts w:hint="eastAsia"/>
              </w:rPr>
              <w:t>3.培养学生不急不躁，认知细致的职业素养。</w:t>
            </w:r>
          </w:p>
        </w:tc>
        <w:tc>
          <w:tcPr>
            <w:tcW w:w="724" w:type="dxa"/>
            <w:vAlign w:val="center"/>
          </w:tcPr>
          <w:p w14:paraId="5116C672">
            <w:pPr>
              <w:adjustRightInd w:val="0"/>
              <w:jc w:val="center"/>
              <w:rPr>
                <w:rFonts w:cs="Times New Roman" w:asciiTheme="minorEastAsia" w:hAnsiTheme="minorEastAsia"/>
              </w:rPr>
            </w:pPr>
            <w:r>
              <w:rPr>
                <w:rFonts w:hint="eastAsia" w:cs="Times New Roman" w:asciiTheme="minorEastAsia" w:hAnsiTheme="minorEastAsia"/>
              </w:rPr>
              <w:t>4</w:t>
            </w:r>
          </w:p>
        </w:tc>
      </w:tr>
      <w:tr w14:paraId="51D48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B0EADE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2DA34CE6">
            <w:pPr>
              <w:adjustRightInd w:val="0"/>
              <w:jc w:val="center"/>
            </w:pPr>
            <w:r>
              <w:rPr>
                <w:rFonts w:hint="eastAsia" w:cs="Times New Roman" w:asciiTheme="minorEastAsia" w:hAnsiTheme="minorEastAsia"/>
              </w:rPr>
              <w:t>成本计算方法</w:t>
            </w:r>
          </w:p>
        </w:tc>
        <w:tc>
          <w:tcPr>
            <w:tcW w:w="2880" w:type="dxa"/>
            <w:vAlign w:val="center"/>
          </w:tcPr>
          <w:p w14:paraId="653F2663">
            <w:pPr>
              <w:spacing w:line="360" w:lineRule="exact"/>
            </w:pPr>
            <w:r>
              <w:rPr>
                <w:rFonts w:hint="eastAsia" w:cs="Times New Roman" w:asciiTheme="minorEastAsia" w:hAnsiTheme="minorEastAsia"/>
              </w:rPr>
              <w:t>1</w:t>
            </w:r>
            <w:r>
              <w:rPr>
                <w:rFonts w:cs="Times New Roman" w:asciiTheme="minorEastAsia" w:hAnsiTheme="minorEastAsia"/>
              </w:rPr>
              <w:t>.</w:t>
            </w:r>
            <w:r>
              <w:rPr>
                <w:rFonts w:hint="eastAsia" w:cs="Times New Roman" w:asciiTheme="minorEastAsia" w:hAnsiTheme="minorEastAsia"/>
              </w:rPr>
              <w:t>掌握成本的计算方法。</w:t>
            </w:r>
          </w:p>
        </w:tc>
        <w:tc>
          <w:tcPr>
            <w:tcW w:w="2682" w:type="dxa"/>
            <w:vAlign w:val="center"/>
          </w:tcPr>
          <w:p w14:paraId="2E90B708">
            <w:pPr>
              <w:spacing w:line="360" w:lineRule="exact"/>
              <w:rPr>
                <w:rFonts w:cs="Times New Roman" w:asciiTheme="minorEastAsia" w:hAnsiTheme="minorEastAsia"/>
              </w:rPr>
            </w:pPr>
            <w:r>
              <w:rPr>
                <w:rFonts w:hint="eastAsia" w:cs="Times New Roman" w:asciiTheme="minorEastAsia" w:hAnsiTheme="minorEastAsia"/>
              </w:rPr>
              <w:t>1</w:t>
            </w:r>
            <w:r>
              <w:rPr>
                <w:rFonts w:cs="Times New Roman" w:asciiTheme="minorEastAsia" w:hAnsiTheme="minorEastAsia"/>
              </w:rPr>
              <w:t>.</w:t>
            </w:r>
            <w:r>
              <w:rPr>
                <w:rFonts w:hint="eastAsia" w:cs="Times New Roman" w:asciiTheme="minorEastAsia" w:hAnsiTheme="minorEastAsia"/>
              </w:rPr>
              <w:t>通过案例，掌握成本的核算。</w:t>
            </w:r>
          </w:p>
          <w:p w14:paraId="1A05BCD7">
            <w:pPr>
              <w:spacing w:line="360" w:lineRule="exact"/>
              <w:rPr>
                <w:rFonts w:cs="Times New Roman" w:asciiTheme="minorEastAsia" w:hAnsiTheme="minorEastAsia"/>
              </w:rPr>
            </w:pPr>
            <w:r>
              <w:rPr>
                <w:rFonts w:hint="eastAsia" w:cs="Times New Roman" w:asciiTheme="minorEastAsia" w:hAnsiTheme="minorEastAsia"/>
              </w:rPr>
              <w:t>2.培养学生务实精神，严谨的工作态度，做一个诚信的“会计人”。</w:t>
            </w:r>
          </w:p>
        </w:tc>
        <w:tc>
          <w:tcPr>
            <w:tcW w:w="724" w:type="dxa"/>
            <w:vAlign w:val="center"/>
          </w:tcPr>
          <w:p w14:paraId="08D8B3D4">
            <w:pPr>
              <w:adjustRightInd w:val="0"/>
              <w:jc w:val="center"/>
            </w:pPr>
            <w:r>
              <w:rPr>
                <w:rFonts w:hint="eastAsia" w:cs="Times New Roman" w:asciiTheme="minorEastAsia" w:hAnsiTheme="minorEastAsia"/>
              </w:rPr>
              <w:t>6</w:t>
            </w:r>
          </w:p>
        </w:tc>
      </w:tr>
      <w:tr w14:paraId="6B8B0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310D83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c>
          <w:tcPr>
            <w:tcW w:w="1089" w:type="dxa"/>
            <w:vAlign w:val="center"/>
          </w:tcPr>
          <w:p w14:paraId="58855E17">
            <w:pPr>
              <w:adjustRightInd w:val="0"/>
              <w:jc w:val="center"/>
            </w:pPr>
            <w:r>
              <w:rPr>
                <w:rFonts w:hint="eastAsia" w:ascii="Arial" w:hAnsi="Arial"/>
                <w:bCs/>
                <w:color w:val="000000"/>
              </w:rPr>
              <w:t>成本会计编制</w:t>
            </w:r>
          </w:p>
        </w:tc>
        <w:tc>
          <w:tcPr>
            <w:tcW w:w="2880" w:type="dxa"/>
            <w:vAlign w:val="center"/>
          </w:tcPr>
          <w:p w14:paraId="7D0A6391">
            <w:r>
              <w:rPr>
                <w:rFonts w:hint="eastAsia"/>
              </w:rPr>
              <w:t>1.了解成本会计涉及的会计科目；</w:t>
            </w:r>
          </w:p>
          <w:p w14:paraId="4DAF56F7">
            <w:pPr>
              <w:tabs>
                <w:tab w:val="left" w:pos="312"/>
              </w:tabs>
            </w:pPr>
            <w:r>
              <w:rPr>
                <w:rFonts w:hint="eastAsia"/>
              </w:rPr>
              <w:t>2.掌握各种情况下，相关会计分录的编制；</w:t>
            </w:r>
          </w:p>
          <w:p w14:paraId="72A8315F">
            <w:pPr>
              <w:tabs>
                <w:tab w:val="left" w:pos="312"/>
              </w:tabs>
            </w:pPr>
            <w:r>
              <w:rPr>
                <w:rFonts w:hint="eastAsia"/>
              </w:rPr>
              <w:t>3.掌握</w:t>
            </w:r>
            <w:r>
              <w:t>损益表和资产负债表</w:t>
            </w:r>
            <w:r>
              <w:rPr>
                <w:rFonts w:hint="eastAsia"/>
              </w:rPr>
              <w:t>的编制。</w:t>
            </w:r>
          </w:p>
        </w:tc>
        <w:tc>
          <w:tcPr>
            <w:tcW w:w="2682" w:type="dxa"/>
            <w:vAlign w:val="center"/>
          </w:tcPr>
          <w:p w14:paraId="7468BCC3">
            <w:pPr>
              <w:widowControl/>
            </w:pPr>
            <w:r>
              <w:rPr>
                <w:rFonts w:hint="eastAsia"/>
              </w:rPr>
              <w:t>1.通过多媒体课件，指导学生掌握相关会计科目；</w:t>
            </w:r>
          </w:p>
          <w:p w14:paraId="745F1518">
            <w:r>
              <w:rPr>
                <w:rFonts w:hint="eastAsia"/>
              </w:rPr>
              <w:t>2.通过案例，指导学生掌握相关会计分录的编写；</w:t>
            </w:r>
          </w:p>
          <w:p w14:paraId="473598E3">
            <w:r>
              <w:rPr>
                <w:rFonts w:hint="eastAsia"/>
              </w:rPr>
              <w:t>3.通过案例，引导学生编制损益表和资产负债表。</w:t>
            </w:r>
          </w:p>
          <w:p w14:paraId="09434CF4">
            <w:r>
              <w:rPr>
                <w:rFonts w:hint="eastAsia"/>
              </w:rPr>
              <w:t>4.引发学生对厉行节约，杜绝浪费的思考，不断优化资源配置，提高工作效率。</w:t>
            </w:r>
          </w:p>
        </w:tc>
        <w:tc>
          <w:tcPr>
            <w:tcW w:w="724" w:type="dxa"/>
            <w:vAlign w:val="center"/>
          </w:tcPr>
          <w:p w14:paraId="46232212">
            <w:pPr>
              <w:adjustRightInd w:val="0"/>
              <w:jc w:val="center"/>
            </w:pPr>
            <w:r>
              <w:rPr>
                <w:rFonts w:hint="eastAsia" w:cs="Times New Roman" w:asciiTheme="minorEastAsia" w:hAnsiTheme="minorEastAsia"/>
              </w:rPr>
              <w:t>12</w:t>
            </w:r>
          </w:p>
        </w:tc>
      </w:tr>
      <w:tr w14:paraId="15C2B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6657559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7</w:t>
            </w:r>
          </w:p>
        </w:tc>
        <w:tc>
          <w:tcPr>
            <w:tcW w:w="1089" w:type="dxa"/>
            <w:vAlign w:val="center"/>
          </w:tcPr>
          <w:p w14:paraId="38C72593">
            <w:pPr>
              <w:adjustRightInd w:val="0"/>
              <w:jc w:val="center"/>
              <w:rPr>
                <w:rFonts w:cs="Times New Roman" w:asciiTheme="minorEastAsia" w:hAnsiTheme="minorEastAsia"/>
              </w:rPr>
            </w:pPr>
            <w:r>
              <w:rPr>
                <w:rFonts w:hint="eastAsia" w:cs="Times New Roman" w:asciiTheme="minorEastAsia" w:hAnsiTheme="minorEastAsia"/>
              </w:rPr>
              <w:t>成本会计的组织工作</w:t>
            </w:r>
          </w:p>
        </w:tc>
        <w:tc>
          <w:tcPr>
            <w:tcW w:w="2880" w:type="dxa"/>
            <w:vAlign w:val="center"/>
          </w:tcPr>
          <w:p w14:paraId="1C71FC5B">
            <w:pPr>
              <w:widowControl/>
            </w:pPr>
            <w:r>
              <w:rPr>
                <w:rFonts w:hint="eastAsia"/>
              </w:rPr>
              <w:t>1.了解设置成本会计组织机构与会计人员；</w:t>
            </w:r>
          </w:p>
          <w:p w14:paraId="3B5B432A">
            <w:r>
              <w:rPr>
                <w:rFonts w:hint="eastAsia"/>
              </w:rPr>
              <w:t>2.了解成本会计工作的原则和组织形式。</w:t>
            </w:r>
          </w:p>
        </w:tc>
        <w:tc>
          <w:tcPr>
            <w:tcW w:w="2682" w:type="dxa"/>
            <w:vAlign w:val="center"/>
          </w:tcPr>
          <w:p w14:paraId="47053B85">
            <w:pPr>
              <w:widowControl/>
            </w:pPr>
            <w:r>
              <w:rPr>
                <w:rFonts w:hint="eastAsia"/>
              </w:rPr>
              <w:t>1.通过多媒体课件，指导学生了解会计机构；</w:t>
            </w:r>
          </w:p>
          <w:p w14:paraId="2F8D145A">
            <w:pPr>
              <w:spacing w:line="360" w:lineRule="exact"/>
            </w:pPr>
            <w:r>
              <w:rPr>
                <w:rFonts w:hint="eastAsia"/>
              </w:rPr>
              <w:t>2.通过过媒体课件，引导学生掌握成本会计的原则和组织形式。</w:t>
            </w:r>
          </w:p>
          <w:p w14:paraId="1010592A">
            <w:pPr>
              <w:spacing w:line="360" w:lineRule="exact"/>
            </w:pPr>
            <w:r>
              <w:rPr>
                <w:rFonts w:hint="eastAsia"/>
              </w:rPr>
              <w:t>3.培育学生经世济民、诚信服务的意识，大胆创新的品格。</w:t>
            </w:r>
          </w:p>
        </w:tc>
        <w:tc>
          <w:tcPr>
            <w:tcW w:w="724" w:type="dxa"/>
            <w:vAlign w:val="center"/>
          </w:tcPr>
          <w:p w14:paraId="689E7CD7">
            <w:pPr>
              <w:adjustRightInd w:val="0"/>
              <w:jc w:val="center"/>
              <w:rPr>
                <w:rFonts w:cs="Times New Roman" w:asciiTheme="minorEastAsia" w:hAnsiTheme="minorEastAsia"/>
              </w:rPr>
            </w:pPr>
            <w:r>
              <w:rPr>
                <w:rFonts w:hint="eastAsia" w:cs="Times New Roman" w:asciiTheme="minorEastAsia" w:hAnsiTheme="minorEastAsia"/>
              </w:rPr>
              <w:t>4</w:t>
            </w:r>
          </w:p>
        </w:tc>
      </w:tr>
      <w:tr w14:paraId="1BE01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4C9704FA">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8</w:t>
            </w:r>
          </w:p>
        </w:tc>
        <w:tc>
          <w:tcPr>
            <w:tcW w:w="1089" w:type="dxa"/>
            <w:vAlign w:val="center"/>
          </w:tcPr>
          <w:p w14:paraId="4D29EC6E">
            <w:pPr>
              <w:adjustRightInd w:val="0"/>
              <w:jc w:val="center"/>
              <w:rPr>
                <w:rFonts w:cs="Times New Roman" w:asciiTheme="minorEastAsia" w:hAnsiTheme="minorEastAsia"/>
              </w:rPr>
            </w:pPr>
            <w:r>
              <w:rPr>
                <w:rFonts w:hint="eastAsia" w:cs="Times New Roman" w:asciiTheme="minorEastAsia" w:hAnsiTheme="minorEastAsia"/>
              </w:rPr>
              <w:t>成本会计的基础工作</w:t>
            </w:r>
          </w:p>
        </w:tc>
        <w:tc>
          <w:tcPr>
            <w:tcW w:w="2880" w:type="dxa"/>
            <w:vAlign w:val="center"/>
          </w:tcPr>
          <w:p w14:paraId="16CA0095">
            <w:r>
              <w:rPr>
                <w:rFonts w:hint="eastAsia"/>
              </w:rPr>
              <w:t>1.了解原始记录的保存范围、要求；</w:t>
            </w:r>
          </w:p>
          <w:p w14:paraId="0BC31748">
            <w:r>
              <w:rPr>
                <w:rFonts w:hint="eastAsia"/>
              </w:rPr>
              <w:t>2.了解</w:t>
            </w:r>
            <w:r>
              <w:rPr>
                <w:iCs/>
              </w:rPr>
              <w:t>存货的计量、验收、领退和盘点制度</w:t>
            </w:r>
            <w:r>
              <w:rPr>
                <w:rFonts w:hint="eastAsia"/>
              </w:rPr>
              <w:t>；</w:t>
            </w:r>
          </w:p>
          <w:p w14:paraId="667B9E3F">
            <w:r>
              <w:rPr>
                <w:rFonts w:hint="eastAsia"/>
              </w:rPr>
              <w:t>3.了解定额管理；</w:t>
            </w:r>
          </w:p>
          <w:p w14:paraId="70956643">
            <w:pPr>
              <w:spacing w:line="360" w:lineRule="exact"/>
            </w:pPr>
            <w:r>
              <w:rPr>
                <w:rFonts w:hint="eastAsia"/>
              </w:rPr>
              <w:t>4.了解</w:t>
            </w:r>
            <w:r>
              <w:t>企业内部结算价格</w:t>
            </w:r>
            <w:r>
              <w:rPr>
                <w:rFonts w:hint="eastAsia"/>
              </w:rPr>
              <w:t>的制定；</w:t>
            </w:r>
          </w:p>
          <w:p w14:paraId="1C6ADFF5">
            <w:pPr>
              <w:spacing w:line="360" w:lineRule="exact"/>
              <w:rPr>
                <w:rFonts w:cs="Times New Roman" w:asciiTheme="minorEastAsia" w:hAnsiTheme="minorEastAsia"/>
              </w:rPr>
            </w:pPr>
            <w:r>
              <w:rPr>
                <w:rFonts w:hint="eastAsia"/>
              </w:rPr>
              <w:t>5.了解成本会计相关制度。</w:t>
            </w:r>
          </w:p>
        </w:tc>
        <w:tc>
          <w:tcPr>
            <w:tcW w:w="2682" w:type="dxa"/>
            <w:vAlign w:val="center"/>
          </w:tcPr>
          <w:p w14:paraId="340E52E0">
            <w:pPr>
              <w:widowControl/>
            </w:pPr>
            <w:r>
              <w:rPr>
                <w:rFonts w:hint="eastAsia"/>
              </w:rPr>
              <w:t>1.通过多媒体课件，指导学生了解原始记录的保存范围、要求，存货的计量、验收、领退和盘点、定额管理、</w:t>
            </w:r>
            <w:r>
              <w:t>内部结算价格</w:t>
            </w:r>
            <w:r>
              <w:rPr>
                <w:rFonts w:hint="eastAsia"/>
              </w:rPr>
              <w:t>的制定。</w:t>
            </w:r>
          </w:p>
          <w:p w14:paraId="5C4DB4EC">
            <w:pPr>
              <w:spacing w:line="360" w:lineRule="exact"/>
              <w:rPr>
                <w:rFonts w:cs="Times New Roman" w:asciiTheme="minorEastAsia" w:hAnsiTheme="minorEastAsia"/>
              </w:rPr>
            </w:pPr>
            <w:r>
              <w:rPr>
                <w:rFonts w:hint="eastAsia" w:cs="Times New Roman" w:asciiTheme="minorEastAsia" w:hAnsiTheme="minorEastAsia"/>
              </w:rPr>
              <w:t>2.培养学生树立专业自信，培育其遵纪守法的意识。</w:t>
            </w:r>
          </w:p>
        </w:tc>
        <w:tc>
          <w:tcPr>
            <w:tcW w:w="724" w:type="dxa"/>
            <w:vAlign w:val="center"/>
          </w:tcPr>
          <w:p w14:paraId="7DE5415F">
            <w:pPr>
              <w:adjustRightInd w:val="0"/>
              <w:jc w:val="center"/>
              <w:rPr>
                <w:rFonts w:cs="Times New Roman" w:asciiTheme="minorEastAsia" w:hAnsiTheme="minorEastAsia"/>
              </w:rPr>
            </w:pPr>
            <w:r>
              <w:rPr>
                <w:rFonts w:hint="eastAsia" w:cs="Times New Roman" w:asciiTheme="minorEastAsia" w:hAnsiTheme="minorEastAsia"/>
              </w:rPr>
              <w:t>4</w:t>
            </w:r>
          </w:p>
        </w:tc>
      </w:tr>
    </w:tbl>
    <w:p w14:paraId="19A786C2">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52C3D2AA">
      <w:pPr>
        <w:pStyle w:val="17"/>
        <w:spacing w:after="0" w:line="400" w:lineRule="exact"/>
        <w:ind w:firstLine="480" w:firstLineChars="200"/>
        <w:rPr>
          <w:sz w:val="24"/>
          <w:szCs w:val="24"/>
        </w:rPr>
      </w:pPr>
      <w:r>
        <w:rPr>
          <w:rFonts w:hint="eastAsia"/>
          <w:sz w:val="24"/>
          <w:szCs w:val="24"/>
        </w:rPr>
        <w:t>1.教学方法</w:t>
      </w:r>
    </w:p>
    <w:p w14:paraId="69979320">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6634E9A0">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3B3E6D19">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36ACECC1">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24387C23">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4169F935">
      <w:pPr>
        <w:pStyle w:val="17"/>
        <w:spacing w:after="0" w:line="400" w:lineRule="exact"/>
        <w:ind w:firstLine="480" w:firstLineChars="200"/>
        <w:rPr>
          <w:sz w:val="24"/>
          <w:szCs w:val="24"/>
        </w:rPr>
      </w:pPr>
      <w:r>
        <w:rPr>
          <w:rFonts w:hint="eastAsia"/>
          <w:sz w:val="24"/>
          <w:szCs w:val="24"/>
        </w:rPr>
        <w:t>2.评价方法</w:t>
      </w:r>
    </w:p>
    <w:p w14:paraId="4B4E05A1">
      <w:pPr>
        <w:spacing w:line="40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本学习领域最终成绩由单人成绩和小组成绩两部分组成，通过对学习过程和学习结果的评价，对学生知识、技能和能力进行综合考核。其中，理论知识和个人训练项目由教师通过对学生学习过程和结果的综合考核，得出学习成绩分值，该部分成绩占50%。分组进行的训练由教师根据对各小组操作过程和结果的综合考核给出各小组成绩，企业实地参观实践的分数计入小组成绩，小组内按照成员各自的表现和贡献互评，最后由组长确定出各成员的得分，上报任课教师。任课教师将每个学生的单人成绩与小组分配成绩相加，得出该课程的最终考核成绩。</w:t>
      </w:r>
    </w:p>
    <w:p w14:paraId="32F4B6D6">
      <w:pPr>
        <w:pStyle w:val="17"/>
        <w:spacing w:after="0" w:line="400" w:lineRule="exact"/>
        <w:ind w:firstLine="480" w:firstLineChars="200"/>
        <w:rPr>
          <w:sz w:val="24"/>
          <w:szCs w:val="24"/>
        </w:rPr>
      </w:pPr>
      <w:r>
        <w:rPr>
          <w:rFonts w:hint="eastAsia"/>
          <w:sz w:val="24"/>
          <w:szCs w:val="24"/>
        </w:rPr>
        <w:t>3.教学条件</w:t>
      </w:r>
    </w:p>
    <w:p w14:paraId="1A402412">
      <w:pPr>
        <w:pStyle w:val="17"/>
        <w:spacing w:after="0" w:line="400" w:lineRule="exact"/>
        <w:ind w:firstLine="480" w:firstLineChars="200"/>
        <w:rPr>
          <w:bCs/>
          <w:sz w:val="24"/>
          <w:szCs w:val="24"/>
        </w:rPr>
      </w:pPr>
      <w:r>
        <w:rPr>
          <w:rFonts w:hint="eastAsia" w:ascii="仿宋_GB2312"/>
          <w:sz w:val="24"/>
          <w:szCs w:val="24"/>
        </w:rPr>
        <w:t>校内建有一支结构合理、素质优良、具有良好职业修养的“双师素质”教师队伍，校外有一批既具有丰富的会计实际工作经验，又具有一定理论基础的会计专家参与学习领域课程标准的制定同。同时</w:t>
      </w:r>
      <w:r>
        <w:rPr>
          <w:rFonts w:hint="eastAsia"/>
          <w:bCs/>
          <w:sz w:val="24"/>
          <w:szCs w:val="24"/>
        </w:rPr>
        <w:t>课程技能训练的校内实训基地需能够营造虚实结合、互动参与的实践训练情境，配置各类教学软件和多媒体设备，能访问互联网，能够开展实训项目。本课程编制的“电子教材”、“电子教案”、“复习与训练题”、“技能训练指导模块”、“教学大纲”、“授课计划”、“学习形式”、“考核方式”等内容能够上传网络，满足课堂教学和学生课外学习的需要。学生可通过网络进行远程学习，教师利用网络可对学生进行有针对性地指导。</w:t>
      </w:r>
    </w:p>
    <w:p w14:paraId="1290260E">
      <w:pPr>
        <w:pStyle w:val="17"/>
        <w:spacing w:after="0" w:line="400" w:lineRule="exact"/>
        <w:ind w:firstLine="480" w:firstLineChars="200"/>
        <w:rPr>
          <w:bCs/>
          <w:sz w:val="24"/>
          <w:szCs w:val="24"/>
        </w:rPr>
      </w:pPr>
      <w:r>
        <w:rPr>
          <w:rFonts w:hint="eastAsia"/>
          <w:bCs/>
          <w:sz w:val="24"/>
          <w:szCs w:val="24"/>
        </w:rPr>
        <w:t>4.教材编选</w:t>
      </w:r>
    </w:p>
    <w:p w14:paraId="3ABA149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0B44F543">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（2）教材的教学内容能够很好地反映成本会计的新颖性、科学性和实用性。注重教学改革成果。</w:t>
      </w:r>
    </w:p>
    <w:p w14:paraId="21253CE6">
      <w:pPr>
        <w:pStyle w:val="17"/>
        <w:spacing w:line="360" w:lineRule="auto"/>
        <w:jc w:val="center"/>
        <w:rPr>
          <w:rFonts w:ascii="黑体" w:hAnsi="黑体" w:eastAsia="黑体"/>
          <w:sz w:val="28"/>
          <w:szCs w:val="28"/>
        </w:rPr>
      </w:pPr>
      <w:r>
        <w:rPr>
          <w:rFonts w:hint="eastAsia" w:ascii="仿宋_GB2312"/>
          <w:sz w:val="24"/>
          <w:szCs w:val="24"/>
        </w:rPr>
        <w:t xml:space="preserve">    （3）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48C1BCB4">
      <w:pPr>
        <w:pStyle w:val="17"/>
        <w:spacing w:line="360" w:lineRule="auto"/>
        <w:jc w:val="center"/>
        <w:rPr>
          <w:rFonts w:hint="eastAsia" w:ascii="黑体" w:hAnsi="黑体" w:eastAsia="黑体"/>
          <w:sz w:val="24"/>
          <w:szCs w:val="24"/>
        </w:rPr>
      </w:pPr>
    </w:p>
    <w:p w14:paraId="2FF4522C">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53F32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33A7194D">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483C86E0">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2BA547EA">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21870A4D">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58BC5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3537849F">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1C7BD7F4">
            <w:pPr>
              <w:pStyle w:val="178"/>
              <w:spacing w:line="360" w:lineRule="exact"/>
              <w:rPr>
                <w:rFonts w:asciiTheme="minorEastAsia" w:hAnsiTheme="minorEastAsia" w:eastAsiaTheme="minorEastAsia" w:cstheme="minorEastAsia"/>
                <w:spacing w:val="7"/>
                <w:lang w:eastAsia="en-US"/>
              </w:rPr>
            </w:pPr>
            <w:r>
              <w:rPr>
                <w:rFonts w:hint="eastAsia" w:ascii="宋体" w:hAnsi="宋体" w:cs="仿宋_GB2312"/>
                <w:lang w:eastAsia="en-US"/>
              </w:rPr>
              <w:t>成本会计概述</w:t>
            </w:r>
          </w:p>
        </w:tc>
        <w:tc>
          <w:tcPr>
            <w:tcW w:w="1980" w:type="dxa"/>
            <w:tcMar>
              <w:top w:w="0" w:type="dxa"/>
              <w:left w:w="108" w:type="dxa"/>
              <w:bottom w:w="0" w:type="dxa"/>
              <w:right w:w="108" w:type="dxa"/>
            </w:tcMar>
            <w:vAlign w:val="center"/>
          </w:tcPr>
          <w:p w14:paraId="26F3C9F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4691F6E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17DE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0E0DD14F">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230CDA49">
            <w:pPr>
              <w:pStyle w:val="178"/>
              <w:spacing w:line="360" w:lineRule="exact"/>
              <w:rPr>
                <w:rFonts w:asciiTheme="minorEastAsia" w:hAnsiTheme="minorEastAsia" w:eastAsiaTheme="minorEastAsia" w:cstheme="minorEastAsia"/>
                <w:spacing w:val="7"/>
                <w:lang w:eastAsia="en-US"/>
              </w:rPr>
            </w:pPr>
            <w:r>
              <w:rPr>
                <w:rFonts w:hint="eastAsia" w:ascii="宋体" w:hAnsi="宋体" w:cs="仿宋_GB2312"/>
                <w:lang w:eastAsia="en-US"/>
              </w:rPr>
              <w:t>成本会计相关概念</w:t>
            </w:r>
          </w:p>
        </w:tc>
        <w:tc>
          <w:tcPr>
            <w:tcW w:w="1980" w:type="dxa"/>
            <w:tcMar>
              <w:top w:w="0" w:type="dxa"/>
              <w:left w:w="108" w:type="dxa"/>
              <w:bottom w:w="0" w:type="dxa"/>
              <w:right w:w="108" w:type="dxa"/>
            </w:tcMar>
            <w:vAlign w:val="center"/>
          </w:tcPr>
          <w:p w14:paraId="71E98734">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2EAB817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7EAED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27D2F03">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62F776D8">
            <w:pPr>
              <w:pStyle w:val="178"/>
              <w:spacing w:line="360" w:lineRule="exact"/>
              <w:rPr>
                <w:rFonts w:asciiTheme="minorEastAsia" w:hAnsiTheme="minorEastAsia" w:eastAsiaTheme="minorEastAsia" w:cstheme="minorEastAsia"/>
                <w:spacing w:val="7"/>
                <w:lang w:eastAsia="en-US"/>
              </w:rPr>
            </w:pPr>
            <w:r>
              <w:rPr>
                <w:rFonts w:hint="eastAsia" w:ascii="宋体" w:hAnsi="宋体" w:cs="仿宋_GB2312"/>
                <w:lang w:eastAsia="en-US"/>
              </w:rPr>
              <w:t>成本会计的具体任务与职能</w:t>
            </w:r>
          </w:p>
        </w:tc>
        <w:tc>
          <w:tcPr>
            <w:tcW w:w="1980" w:type="dxa"/>
            <w:tcMar>
              <w:top w:w="0" w:type="dxa"/>
              <w:left w:w="108" w:type="dxa"/>
              <w:bottom w:w="0" w:type="dxa"/>
              <w:right w:w="108" w:type="dxa"/>
            </w:tcMar>
            <w:vAlign w:val="center"/>
          </w:tcPr>
          <w:p w14:paraId="707F9F1E">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C15F6F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381F2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5FC7B5D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7C35F2CF">
            <w:pPr>
              <w:pStyle w:val="178"/>
              <w:spacing w:line="360" w:lineRule="exact"/>
              <w:rPr>
                <w:rFonts w:asciiTheme="minorEastAsia" w:hAnsiTheme="minorEastAsia" w:eastAsiaTheme="minorEastAsia" w:cstheme="minorEastAsia"/>
                <w:spacing w:val="7"/>
                <w:lang w:eastAsia="en-US"/>
              </w:rPr>
            </w:pPr>
            <w:r>
              <w:rPr>
                <w:rFonts w:hint="eastAsia"/>
                <w:bCs/>
                <w:lang w:eastAsia="en-US"/>
              </w:rPr>
              <w:t>成本对象构成要素、成本分配的方法</w:t>
            </w:r>
          </w:p>
        </w:tc>
        <w:tc>
          <w:tcPr>
            <w:tcW w:w="1980" w:type="dxa"/>
            <w:tcMar>
              <w:top w:w="0" w:type="dxa"/>
              <w:left w:w="108" w:type="dxa"/>
              <w:bottom w:w="0" w:type="dxa"/>
              <w:right w:w="108" w:type="dxa"/>
            </w:tcMar>
            <w:vAlign w:val="center"/>
          </w:tcPr>
          <w:p w14:paraId="3FC0710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5777C1E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5053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4B5AB0B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027BE9DA">
            <w:pPr>
              <w:pStyle w:val="178"/>
              <w:spacing w:line="360" w:lineRule="exact"/>
              <w:rPr>
                <w:rFonts w:asciiTheme="minorEastAsia" w:hAnsiTheme="minorEastAsia" w:eastAsiaTheme="minorEastAsia" w:cstheme="minorEastAsia"/>
                <w:spacing w:val="7"/>
                <w:lang w:eastAsia="en-US"/>
              </w:rPr>
            </w:pPr>
            <w:r>
              <w:rPr>
                <w:rFonts w:hint="eastAsia" w:cs="Times New Roman" w:asciiTheme="minorEastAsia" w:hAnsiTheme="minorEastAsia"/>
                <w:lang w:eastAsia="en-US"/>
              </w:rPr>
              <w:t>成本计算方法</w:t>
            </w:r>
          </w:p>
        </w:tc>
        <w:tc>
          <w:tcPr>
            <w:tcW w:w="1980" w:type="dxa"/>
            <w:tcMar>
              <w:top w:w="0" w:type="dxa"/>
              <w:left w:w="108" w:type="dxa"/>
              <w:bottom w:w="0" w:type="dxa"/>
              <w:right w:w="108" w:type="dxa"/>
            </w:tcMar>
            <w:vAlign w:val="center"/>
          </w:tcPr>
          <w:p w14:paraId="0B40740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7621223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2F7D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C9864F6">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70640D64">
            <w:pPr>
              <w:pStyle w:val="178"/>
              <w:spacing w:line="360" w:lineRule="exact"/>
              <w:rPr>
                <w:rFonts w:asciiTheme="minorEastAsia" w:hAnsiTheme="minorEastAsia" w:eastAsiaTheme="minorEastAsia" w:cstheme="minorEastAsia"/>
                <w:spacing w:val="7"/>
                <w:lang w:eastAsia="en-US"/>
              </w:rPr>
            </w:pPr>
            <w:r>
              <w:rPr>
                <w:rFonts w:hint="eastAsia"/>
                <w:bCs/>
                <w:lang w:eastAsia="en-US"/>
              </w:rPr>
              <w:t>成本会计编制</w:t>
            </w:r>
          </w:p>
        </w:tc>
        <w:tc>
          <w:tcPr>
            <w:tcW w:w="1980" w:type="dxa"/>
            <w:tcMar>
              <w:top w:w="0" w:type="dxa"/>
              <w:left w:w="108" w:type="dxa"/>
              <w:bottom w:w="0" w:type="dxa"/>
              <w:right w:w="108" w:type="dxa"/>
            </w:tcMar>
            <w:vAlign w:val="center"/>
          </w:tcPr>
          <w:p w14:paraId="13685A8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12</w:t>
            </w:r>
          </w:p>
        </w:tc>
        <w:tc>
          <w:tcPr>
            <w:tcW w:w="2182" w:type="dxa"/>
            <w:tcMar>
              <w:top w:w="0" w:type="dxa"/>
              <w:left w:w="108" w:type="dxa"/>
              <w:bottom w:w="0" w:type="dxa"/>
              <w:right w:w="108" w:type="dxa"/>
            </w:tcMar>
            <w:vAlign w:val="center"/>
          </w:tcPr>
          <w:p w14:paraId="66ABEE16">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7B008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F50B88A">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7</w:t>
            </w:r>
          </w:p>
        </w:tc>
        <w:tc>
          <w:tcPr>
            <w:tcW w:w="3079" w:type="dxa"/>
            <w:tcMar>
              <w:top w:w="0" w:type="dxa"/>
              <w:left w:w="108" w:type="dxa"/>
              <w:bottom w:w="0" w:type="dxa"/>
              <w:right w:w="108" w:type="dxa"/>
            </w:tcMar>
            <w:vAlign w:val="center"/>
          </w:tcPr>
          <w:p w14:paraId="4FFF3AA8">
            <w:pPr>
              <w:pStyle w:val="178"/>
              <w:spacing w:line="360" w:lineRule="exact"/>
              <w:rPr>
                <w:rFonts w:asciiTheme="minorEastAsia" w:hAnsiTheme="minorEastAsia" w:eastAsiaTheme="minorEastAsia" w:cstheme="minorEastAsia"/>
                <w:spacing w:val="7"/>
                <w:lang w:eastAsia="en-US"/>
              </w:rPr>
            </w:pPr>
            <w:r>
              <w:rPr>
                <w:rFonts w:hint="eastAsia" w:cs="Times New Roman" w:asciiTheme="minorEastAsia" w:hAnsiTheme="minorEastAsia"/>
                <w:lang w:eastAsia="en-US"/>
              </w:rPr>
              <w:t>成本会计的组织工作</w:t>
            </w:r>
          </w:p>
        </w:tc>
        <w:tc>
          <w:tcPr>
            <w:tcW w:w="1980" w:type="dxa"/>
            <w:tcMar>
              <w:top w:w="0" w:type="dxa"/>
              <w:left w:w="108" w:type="dxa"/>
              <w:bottom w:w="0" w:type="dxa"/>
              <w:right w:w="108" w:type="dxa"/>
            </w:tcMar>
            <w:vAlign w:val="center"/>
          </w:tcPr>
          <w:p w14:paraId="22BE7FAD">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1A108B6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578C0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65F736C">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8</w:t>
            </w:r>
          </w:p>
        </w:tc>
        <w:tc>
          <w:tcPr>
            <w:tcW w:w="3079" w:type="dxa"/>
            <w:tcMar>
              <w:top w:w="0" w:type="dxa"/>
              <w:left w:w="108" w:type="dxa"/>
              <w:bottom w:w="0" w:type="dxa"/>
              <w:right w:w="108" w:type="dxa"/>
            </w:tcMar>
            <w:vAlign w:val="center"/>
          </w:tcPr>
          <w:p w14:paraId="0403B928">
            <w:pPr>
              <w:pStyle w:val="178"/>
              <w:spacing w:line="360" w:lineRule="exact"/>
              <w:rPr>
                <w:rFonts w:cs="Times New Roman" w:asciiTheme="minorEastAsia" w:hAnsiTheme="minorEastAsia"/>
                <w:lang w:eastAsia="en-US"/>
              </w:rPr>
            </w:pPr>
            <w:r>
              <w:rPr>
                <w:rFonts w:hint="eastAsia" w:cs="Times New Roman" w:asciiTheme="minorEastAsia" w:hAnsiTheme="minorEastAsia"/>
                <w:lang w:eastAsia="en-US"/>
              </w:rPr>
              <w:t>成本会计的基础工作</w:t>
            </w:r>
          </w:p>
        </w:tc>
        <w:tc>
          <w:tcPr>
            <w:tcW w:w="1980" w:type="dxa"/>
            <w:tcMar>
              <w:top w:w="0" w:type="dxa"/>
              <w:left w:w="108" w:type="dxa"/>
              <w:bottom w:w="0" w:type="dxa"/>
              <w:right w:w="108" w:type="dxa"/>
            </w:tcMar>
            <w:vAlign w:val="center"/>
          </w:tcPr>
          <w:p w14:paraId="4321E9C9">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08570CB3">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bl>
    <w:p w14:paraId="368591C1"/>
    <w:p w14:paraId="1DBC48F0">
      <w:pPr>
        <w:spacing w:line="400" w:lineRule="exact"/>
        <w:ind w:firstLine="480" w:firstLineChars="200"/>
        <w:rPr>
          <w:rFonts w:ascii="仿宋_GB2312" w:hAnsi="Times New Roman" w:eastAsia="仿宋_GB2312" w:cs="Times New Roman"/>
          <w:sz w:val="24"/>
          <w:szCs w:val="24"/>
        </w:rPr>
      </w:pPr>
    </w:p>
    <w:p w14:paraId="5E56DE27">
      <w:pPr>
        <w:widowControl/>
        <w:rPr>
          <w:rFonts w:ascii="黑体" w:hAnsi="黑体" w:eastAsia="黑体"/>
          <w:sz w:val="24"/>
          <w:szCs w:val="24"/>
        </w:rPr>
      </w:pPr>
      <w:r>
        <w:rPr>
          <w:rFonts w:ascii="黑体" w:hAnsi="黑体" w:eastAsia="黑体"/>
          <w:sz w:val="24"/>
          <w:szCs w:val="24"/>
        </w:rPr>
        <w:br w:type="page"/>
      </w:r>
    </w:p>
    <w:p w14:paraId="56502284">
      <w:pPr>
        <w:pStyle w:val="17"/>
        <w:spacing w:before="156" w:beforeLines="50" w:after="156" w:afterLines="50"/>
        <w:jc w:val="center"/>
        <w:outlineLvl w:val="2"/>
        <w:rPr>
          <w:rFonts w:ascii="黑体" w:hAnsi="黑体" w:eastAsia="黑体" w:cs="黑体"/>
          <w:sz w:val="30"/>
          <w:szCs w:val="30"/>
        </w:rPr>
      </w:pPr>
      <w:bookmarkStart w:id="178" w:name="_Toc4527"/>
      <w:bookmarkStart w:id="179" w:name="_Toc3267"/>
      <w:bookmarkStart w:id="180" w:name="_Toc27129"/>
      <w:r>
        <w:rPr>
          <w:rFonts w:hint="eastAsia" w:ascii="黑体" w:hAnsi="黑体" w:eastAsia="黑体" w:cs="黑体"/>
          <w:sz w:val="30"/>
          <w:szCs w:val="30"/>
        </w:rPr>
        <w:t>统计技术应用课程标准</w:t>
      </w:r>
      <w:bookmarkEnd w:id="178"/>
      <w:bookmarkEnd w:id="179"/>
      <w:bookmarkEnd w:id="180"/>
    </w:p>
    <w:p w14:paraId="39A36817">
      <w:pPr>
        <w:pStyle w:val="17"/>
        <w:spacing w:after="0" w:line="400" w:lineRule="exact"/>
        <w:ind w:firstLine="560" w:firstLineChars="200"/>
        <w:rPr>
          <w:rFonts w:ascii="楷体_GB2312" w:eastAsia="楷体_GB2312"/>
          <w:sz w:val="28"/>
          <w:szCs w:val="28"/>
        </w:rPr>
      </w:pPr>
    </w:p>
    <w:p w14:paraId="5B0A963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62F520D0">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统计技术应用》是指在组织生产经营各个阶段，采用有效、简单、实用的统计技术提高测量、监测和改进的有效性，有针对性的进行数据收集，整理和分析。统计技术应用并不是简单的统计工作，而是需要对应用统计技术人员进行专门的培训，使其掌握基本方法和知识，每一项统计技术必须严格符合统计技术应用的条件和步骤；对统计技术应用的有效性和效果进行监控、验证，避免错误，确保统计技术应用结果的真实性和完整性。《统计技术应用》课程开设目的主要是为学生继续深入学习与理解统计技术在会计核算中的应用奠定基础，便于该专业学生对专业课程的学习，便于养成严谨的财务思维与提升分析能力。为进一步学习《税务会计》、《财务管理》等其他经管类专业课程和有关实训实践活动以及今后从事财会工作打下坚实的基础，培养出具有良好财务素养和较强职业能力的高素质人才。</w:t>
      </w:r>
    </w:p>
    <w:p w14:paraId="081DA8D5">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00D8DCFF">
      <w:pPr>
        <w:pStyle w:val="17"/>
        <w:spacing w:after="0" w:line="400" w:lineRule="exact"/>
        <w:ind w:firstLine="480" w:firstLineChars="200"/>
        <w:rPr>
          <w:sz w:val="24"/>
          <w:szCs w:val="24"/>
        </w:rPr>
      </w:pPr>
      <w:r>
        <w:rPr>
          <w:rFonts w:hint="eastAsia"/>
          <w:sz w:val="24"/>
          <w:szCs w:val="24"/>
        </w:rPr>
        <w:t>1</w:t>
      </w:r>
      <w:r>
        <w:rPr>
          <w:sz w:val="24"/>
          <w:szCs w:val="24"/>
        </w:rPr>
        <w:t>.素质目标</w:t>
      </w:r>
    </w:p>
    <w:p w14:paraId="7671F318">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（1）具有较强的语言表达、职业沟通和团队合作能力；</w:t>
      </w:r>
    </w:p>
    <w:p w14:paraId="2DD57EBB">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（2）具有良好的财务专业知识；</w:t>
      </w:r>
    </w:p>
    <w:p w14:paraId="38C7CF56">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（3）具有良好的心理素质、诚信品质和社会责任感；</w:t>
      </w:r>
    </w:p>
    <w:p w14:paraId="5BB6AD6E">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（4）具有踏实肯干的工作作风和主动、热情、耐心的服务意识；</w:t>
      </w:r>
    </w:p>
    <w:p w14:paraId="7FB5A7DB">
      <w:pPr>
        <w:pStyle w:val="2"/>
        <w:spacing w:line="400" w:lineRule="exact"/>
        <w:ind w:firstLine="480"/>
        <w:rPr>
          <w:rFonts w:ascii="仿宋_GB2312" w:cs="仿宋_GB2312"/>
          <w:sz w:val="24"/>
          <w:szCs w:val="24"/>
        </w:rPr>
      </w:pPr>
      <w:r>
        <w:rPr>
          <w:rFonts w:hint="eastAsia" w:ascii="仿宋_GB2312" w:hAnsi="仿宋_GB2312" w:cs="仿宋_GB2312"/>
          <w:sz w:val="24"/>
          <w:szCs w:val="24"/>
        </w:rPr>
        <w:t>（5）根据学习目标，具有开展业务实践能力。</w:t>
      </w:r>
    </w:p>
    <w:p w14:paraId="72ED132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599AF7C3">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（1）了解统计基本概念；</w:t>
      </w:r>
    </w:p>
    <w:p w14:paraId="6219E02F">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（2）掌握统计工作表的填写、编制；</w:t>
      </w:r>
    </w:p>
    <w:p w14:paraId="0297C1A8">
      <w:pPr>
        <w:pStyle w:val="2"/>
        <w:spacing w:line="400" w:lineRule="exact"/>
        <w:ind w:firstLine="480"/>
        <w:rPr>
          <w:rFonts w:ascii="仿宋_GB2312" w:cs="仿宋_GB2312"/>
          <w:sz w:val="24"/>
          <w:szCs w:val="24"/>
        </w:rPr>
      </w:pPr>
      <w:r>
        <w:rPr>
          <w:rFonts w:hint="eastAsia" w:ascii="仿宋_GB2312" w:hAnsi="仿宋_GB2312" w:cs="仿宋_GB2312"/>
          <w:sz w:val="24"/>
          <w:szCs w:val="24"/>
        </w:rPr>
        <w:t>（3）掌握常用统计技术的概念、分类、用途等，比如检查表、分层法、因果图、排列图、直方图、散布图、控制图等；</w:t>
      </w:r>
    </w:p>
    <w:p w14:paraId="7FFBA63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（4）了解与统计技术相关的标准和资料；</w:t>
      </w:r>
    </w:p>
    <w:p w14:paraId="71C4CC03">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（5）掌握PDCA各阶段的适用技术；</w:t>
      </w:r>
    </w:p>
    <w:p w14:paraId="51FBF3EB">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（6）掌握过程能力指数的核算、过程能力的评价与处理。</w:t>
      </w:r>
    </w:p>
    <w:p w14:paraId="6E1BB45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62BBFCD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本教材以全面提高学生综合素质为原则，强调以培养学生的能力为本位，培养学生分析和解决实际问题的能力；完成统计技术应用的学习。</w:t>
      </w:r>
    </w:p>
    <w:p w14:paraId="12D82FB1">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489F0AC1">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6A03A0A2">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6737928A">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2学分。</w:t>
      </w:r>
    </w:p>
    <w:p w14:paraId="31974B44">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48E25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05554330">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575C9D2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0914A8C7">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6FC0D625">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760D3466">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3C4BE6F5">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40B4A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42C84A8">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126C8644">
            <w:pPr>
              <w:adjustRightInd w:val="0"/>
              <w:jc w:val="center"/>
              <w:rPr>
                <w:rFonts w:ascii="仿宋_GB2312"/>
              </w:rPr>
            </w:pPr>
            <w:r>
              <w:rPr>
                <w:rFonts w:hint="eastAsia" w:ascii="Arial" w:hAnsi="Arial"/>
                <w:bCs/>
                <w:color w:val="000000"/>
              </w:rPr>
              <w:t>统计技术基本概念</w:t>
            </w:r>
          </w:p>
        </w:tc>
        <w:tc>
          <w:tcPr>
            <w:tcW w:w="2880" w:type="dxa"/>
            <w:vAlign w:val="center"/>
          </w:tcPr>
          <w:p w14:paraId="4BF1C92E">
            <w:r>
              <w:rPr>
                <w:rFonts w:hint="eastAsia"/>
              </w:rPr>
              <w:t>了解统计技术的基本概念。</w:t>
            </w:r>
          </w:p>
        </w:tc>
        <w:tc>
          <w:tcPr>
            <w:tcW w:w="2682" w:type="dxa"/>
            <w:vAlign w:val="center"/>
          </w:tcPr>
          <w:p w14:paraId="0FFCD332">
            <w:r>
              <w:rPr>
                <w:rFonts w:hint="eastAsia"/>
              </w:rPr>
              <w:t>1.多媒体演示，了解信息、数据、数据分析、总体、样本、抽样、数据分类、样本中位值、样本平均值、样本方差等基本概念。</w:t>
            </w:r>
          </w:p>
          <w:p w14:paraId="4660DB8A">
            <w:r>
              <w:rPr>
                <w:rFonts w:hint="eastAsia"/>
              </w:rPr>
              <w:t>2</w:t>
            </w:r>
            <w:r>
              <w:t>.</w:t>
            </w:r>
            <w:r>
              <w:rPr>
                <w:rFonts w:hint="eastAsia"/>
              </w:rPr>
              <w:t>了解统计数据要实事求是、统计分析方法要实事求是、统计分析结论要实事求是以及统计工作人员更要实事求是的理念，使学生学习其勤于耕耘的工作态度和实事求是的科研精神。</w:t>
            </w:r>
          </w:p>
        </w:tc>
        <w:tc>
          <w:tcPr>
            <w:tcW w:w="724" w:type="dxa"/>
            <w:vAlign w:val="center"/>
          </w:tcPr>
          <w:p w14:paraId="3B916AB1">
            <w:pPr>
              <w:adjustRightInd w:val="0"/>
              <w:jc w:val="center"/>
              <w:rPr>
                <w:rFonts w:ascii="仿宋_GB2312"/>
              </w:rPr>
            </w:pPr>
            <w:r>
              <w:rPr>
                <w:rFonts w:hint="eastAsia"/>
              </w:rPr>
              <w:t>2</w:t>
            </w:r>
          </w:p>
        </w:tc>
      </w:tr>
      <w:tr w14:paraId="6261A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A565968">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68AAA836">
            <w:pPr>
              <w:adjustRightInd w:val="0"/>
              <w:jc w:val="center"/>
              <w:rPr>
                <w:rFonts w:ascii="仿宋_GB2312"/>
              </w:rPr>
            </w:pPr>
            <w:r>
              <w:rPr>
                <w:rFonts w:hint="eastAsia" w:cs="Times New Roman" w:asciiTheme="minorEastAsia" w:hAnsiTheme="minorEastAsia"/>
              </w:rPr>
              <w:t>统计工作表的填写、编制</w:t>
            </w:r>
          </w:p>
        </w:tc>
        <w:tc>
          <w:tcPr>
            <w:tcW w:w="2880" w:type="dxa"/>
            <w:vAlign w:val="center"/>
          </w:tcPr>
          <w:p w14:paraId="118F7ABD">
            <w:r>
              <w:rPr>
                <w:rFonts w:hint="eastAsia"/>
              </w:rPr>
              <w:t>1.了解统计工作表的分类和用途；</w:t>
            </w:r>
          </w:p>
          <w:p w14:paraId="3F9E42CC">
            <w:r>
              <w:rPr>
                <w:rFonts w:hint="eastAsia"/>
              </w:rPr>
              <w:t>2.掌握统计工作表的填写、编制。</w:t>
            </w:r>
          </w:p>
        </w:tc>
        <w:tc>
          <w:tcPr>
            <w:tcW w:w="2682" w:type="dxa"/>
            <w:vAlign w:val="center"/>
          </w:tcPr>
          <w:p w14:paraId="75A44431">
            <w:r>
              <w:rPr>
                <w:rFonts w:hint="eastAsia"/>
              </w:rPr>
              <w:t>1.通过样表、图片，指导学生认识各类统计工作表；</w:t>
            </w:r>
          </w:p>
          <w:p w14:paraId="78A2228B">
            <w:r>
              <w:rPr>
                <w:rFonts w:hint="eastAsia"/>
              </w:rPr>
              <w:t>2.通过案例，引导学生填写、编制相关统计工作表。</w:t>
            </w:r>
          </w:p>
          <w:p w14:paraId="7FD9A3B0">
            <w:pPr>
              <w:rPr>
                <w:rFonts w:ascii="仿宋_GB2312"/>
              </w:rPr>
            </w:pPr>
            <w:r>
              <w:rPr>
                <w:rFonts w:hint="eastAsia"/>
              </w:rPr>
              <w:t>3</w:t>
            </w:r>
            <w:r>
              <w:t>.</w:t>
            </w:r>
            <w:r>
              <w:rPr>
                <w:rFonts w:hint="eastAsia"/>
              </w:rPr>
              <w:t>使学生了解统计监督职能、统计资料真实准确与完整及时的在社会经济发展中的重要性，并树立法制观念，要做遵纪守法的公民。</w:t>
            </w:r>
          </w:p>
        </w:tc>
        <w:tc>
          <w:tcPr>
            <w:tcW w:w="724" w:type="dxa"/>
            <w:vAlign w:val="center"/>
          </w:tcPr>
          <w:p w14:paraId="70CD7A96">
            <w:pPr>
              <w:adjustRightInd w:val="0"/>
              <w:jc w:val="center"/>
              <w:rPr>
                <w:rFonts w:ascii="仿宋_GB2312"/>
              </w:rPr>
            </w:pPr>
            <w:r>
              <w:rPr>
                <w:rFonts w:hint="eastAsia" w:cs="Times New Roman" w:asciiTheme="minorEastAsia" w:hAnsiTheme="minorEastAsia"/>
              </w:rPr>
              <w:t>2</w:t>
            </w:r>
          </w:p>
        </w:tc>
      </w:tr>
      <w:tr w14:paraId="08961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066BE0FB">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3345CE52">
            <w:pPr>
              <w:adjustRightInd w:val="0"/>
              <w:jc w:val="center"/>
              <w:rPr>
                <w:rFonts w:ascii="仿宋_GB2312"/>
              </w:rPr>
            </w:pPr>
            <w:r>
              <w:rPr>
                <w:rFonts w:hint="eastAsia" w:ascii="Arial" w:hAnsi="Arial"/>
                <w:bCs/>
                <w:color w:val="000000"/>
              </w:rPr>
              <w:t>常用统计技术概述</w:t>
            </w:r>
          </w:p>
        </w:tc>
        <w:tc>
          <w:tcPr>
            <w:tcW w:w="2880" w:type="dxa"/>
            <w:vAlign w:val="center"/>
          </w:tcPr>
          <w:p w14:paraId="18266AA8">
            <w:r>
              <w:rPr>
                <w:rFonts w:hint="eastAsia"/>
              </w:rPr>
              <w:t>1.掌握常用统计技术的概念、分类、用途。</w:t>
            </w:r>
          </w:p>
        </w:tc>
        <w:tc>
          <w:tcPr>
            <w:tcW w:w="2682" w:type="dxa"/>
            <w:vAlign w:val="center"/>
          </w:tcPr>
          <w:p w14:paraId="6B257659">
            <w:pPr>
              <w:widowControl/>
            </w:pPr>
            <w:r>
              <w:rPr>
                <w:rFonts w:hint="eastAsia"/>
              </w:rPr>
              <w:t>1.通过多媒体课件，指导学生掌握常用七种统计技术的概念、分类、用途。</w:t>
            </w:r>
          </w:p>
          <w:p w14:paraId="0D34E335">
            <w:pPr>
              <w:widowControl/>
            </w:pPr>
            <w:r>
              <w:rPr>
                <w:rFonts w:hint="eastAsia"/>
              </w:rPr>
              <w:t>2</w:t>
            </w:r>
            <w:r>
              <w:t>.</w:t>
            </w:r>
            <w:r>
              <w:rPr>
                <w:rFonts w:hint="eastAsia"/>
              </w:rPr>
              <w:t>让学生学习许世瑾教授兢兢业业、勤勤恳恳的工作态度。</w:t>
            </w:r>
          </w:p>
        </w:tc>
        <w:tc>
          <w:tcPr>
            <w:tcW w:w="724" w:type="dxa"/>
            <w:vAlign w:val="center"/>
          </w:tcPr>
          <w:p w14:paraId="0324BEBD">
            <w:pPr>
              <w:adjustRightInd w:val="0"/>
              <w:jc w:val="center"/>
              <w:rPr>
                <w:rFonts w:ascii="仿宋_GB2312"/>
              </w:rPr>
            </w:pPr>
            <w:r>
              <w:rPr>
                <w:rFonts w:hint="eastAsia"/>
              </w:rPr>
              <w:t>4</w:t>
            </w:r>
          </w:p>
        </w:tc>
      </w:tr>
      <w:tr w14:paraId="65FE3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7354C8C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2E1549A7">
            <w:pPr>
              <w:adjustRightInd w:val="0"/>
              <w:jc w:val="center"/>
              <w:rPr>
                <w:rFonts w:cs="Times New Roman" w:asciiTheme="minorEastAsia" w:hAnsiTheme="minorEastAsia"/>
              </w:rPr>
            </w:pPr>
            <w:r>
              <w:rPr>
                <w:rFonts w:hint="eastAsia" w:ascii="Arial" w:hAnsi="Arial"/>
                <w:bCs/>
                <w:color w:val="000000"/>
              </w:rPr>
              <w:t>与统计技术相关的标准和资料</w:t>
            </w:r>
          </w:p>
        </w:tc>
        <w:tc>
          <w:tcPr>
            <w:tcW w:w="2880" w:type="dxa"/>
            <w:vAlign w:val="center"/>
          </w:tcPr>
          <w:p w14:paraId="675F1E01">
            <w:pPr>
              <w:spacing w:line="360" w:lineRule="exact"/>
            </w:pPr>
            <w:r>
              <w:rPr>
                <w:rFonts w:cs="Times New Roman" w:asciiTheme="minorEastAsia" w:hAnsiTheme="minorEastAsia"/>
              </w:rPr>
              <w:t>1.</w:t>
            </w:r>
            <w:r>
              <w:rPr>
                <w:rFonts w:hint="eastAsia" w:cs="Times New Roman" w:asciiTheme="minorEastAsia" w:hAnsiTheme="minorEastAsia"/>
              </w:rPr>
              <w:t>了解与统计技术相关的标准和资料。</w:t>
            </w:r>
          </w:p>
        </w:tc>
        <w:tc>
          <w:tcPr>
            <w:tcW w:w="2682" w:type="dxa"/>
            <w:vAlign w:val="center"/>
          </w:tcPr>
          <w:p w14:paraId="495EC2EF">
            <w:pPr>
              <w:widowControl/>
            </w:pPr>
            <w:r>
              <w:rPr>
                <w:rFonts w:hint="eastAsia"/>
              </w:rPr>
              <w:t>1.通过多媒体课件、照片，指导学生了解与统计技术相关的标准和资料；</w:t>
            </w:r>
          </w:p>
          <w:p w14:paraId="58BE5A08">
            <w:pPr>
              <w:widowControl/>
            </w:pPr>
            <w:r>
              <w:rPr>
                <w:rFonts w:hint="eastAsia"/>
              </w:rPr>
              <w:t>2.引导学生掌握查找相关标准和资料的方法。</w:t>
            </w:r>
          </w:p>
          <w:p w14:paraId="60CFE6E6">
            <w:pPr>
              <w:widowControl/>
            </w:pPr>
            <w:r>
              <w:rPr>
                <w:rFonts w:hint="eastAsia"/>
              </w:rPr>
              <w:t>3</w:t>
            </w:r>
            <w:r>
              <w:t>.</w:t>
            </w:r>
            <w:r>
              <w:rPr>
                <w:rFonts w:hint="eastAsia"/>
              </w:rPr>
              <w:t>使学生了解身居新加坡的胡先生不仅捐赠《统计学》教材，还为家乡大学统计学人才的培养提出了建议和设想的爱国事迹，激发学生的爱国主义情怀。</w:t>
            </w:r>
          </w:p>
        </w:tc>
        <w:tc>
          <w:tcPr>
            <w:tcW w:w="724" w:type="dxa"/>
            <w:vAlign w:val="center"/>
          </w:tcPr>
          <w:p w14:paraId="789ACC1E">
            <w:pPr>
              <w:adjustRightInd w:val="0"/>
              <w:jc w:val="center"/>
              <w:rPr>
                <w:rFonts w:cs="Times New Roman" w:asciiTheme="minorEastAsia" w:hAnsiTheme="minorEastAsia"/>
              </w:rPr>
            </w:pPr>
            <w:r>
              <w:rPr>
                <w:rFonts w:hint="eastAsia" w:cs="Times New Roman" w:asciiTheme="minorEastAsia" w:hAnsiTheme="minorEastAsia"/>
              </w:rPr>
              <w:t>2</w:t>
            </w:r>
          </w:p>
        </w:tc>
      </w:tr>
      <w:tr w14:paraId="7FD08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6727271">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012A99D7">
            <w:pPr>
              <w:adjustRightInd w:val="0"/>
              <w:jc w:val="center"/>
            </w:pPr>
            <w:r>
              <w:rPr>
                <w:rFonts w:hint="eastAsia" w:ascii="Arial" w:hAnsi="Arial"/>
                <w:bCs/>
                <w:color w:val="000000"/>
              </w:rPr>
              <w:t>PDCA各阶段适用技术</w:t>
            </w:r>
          </w:p>
        </w:tc>
        <w:tc>
          <w:tcPr>
            <w:tcW w:w="2880" w:type="dxa"/>
            <w:vAlign w:val="center"/>
          </w:tcPr>
          <w:p w14:paraId="0160027E">
            <w:r>
              <w:rPr>
                <w:rFonts w:hint="eastAsia"/>
              </w:rPr>
              <w:t>1.了解P（计划）D（实施）C（检查）A（处置）各阶段及步骤；</w:t>
            </w:r>
          </w:p>
          <w:p w14:paraId="2113C2C7">
            <w:pPr>
              <w:tabs>
                <w:tab w:val="left" w:pos="312"/>
              </w:tabs>
            </w:pPr>
            <w:r>
              <w:rPr>
                <w:rFonts w:hint="eastAsia"/>
              </w:rPr>
              <w:t>2.掌握PDCA各阶段适用的统计技术。</w:t>
            </w:r>
          </w:p>
        </w:tc>
        <w:tc>
          <w:tcPr>
            <w:tcW w:w="2682" w:type="dxa"/>
            <w:vAlign w:val="center"/>
          </w:tcPr>
          <w:p w14:paraId="174DEF93">
            <w:pPr>
              <w:spacing w:line="360" w:lineRule="exact"/>
              <w:rPr>
                <w:rFonts w:cs="Times New Roman" w:asciiTheme="minorEastAsia" w:hAnsiTheme="minorEastAsia"/>
              </w:rPr>
            </w:pPr>
            <w:r>
              <w:rPr>
                <w:rFonts w:hint="eastAsia" w:cs="Times New Roman" w:asciiTheme="minorEastAsia" w:hAnsiTheme="minorEastAsia"/>
              </w:rPr>
              <w:t>1</w:t>
            </w:r>
            <w:r>
              <w:rPr>
                <w:rFonts w:cs="Times New Roman" w:asciiTheme="minorEastAsia" w:hAnsiTheme="minorEastAsia"/>
              </w:rPr>
              <w:t>.</w:t>
            </w:r>
            <w:r>
              <w:rPr>
                <w:rFonts w:hint="eastAsia" w:cs="Times New Roman" w:asciiTheme="minorEastAsia" w:hAnsiTheme="minorEastAsia"/>
              </w:rPr>
              <w:t>通过多媒体课件，指导学生了解PDCA各阶段、步骤内容；</w:t>
            </w:r>
          </w:p>
          <w:p w14:paraId="33ED3030">
            <w:pPr>
              <w:spacing w:line="360" w:lineRule="exact"/>
              <w:rPr>
                <w:rFonts w:cs="Times New Roman" w:asciiTheme="minorEastAsia" w:hAnsiTheme="minorEastAsia"/>
              </w:rPr>
            </w:pPr>
            <w:r>
              <w:rPr>
                <w:rFonts w:hint="eastAsia" w:cs="Times New Roman" w:asciiTheme="minorEastAsia" w:hAnsiTheme="minorEastAsia"/>
              </w:rPr>
              <w:t>2.通过案例，引导学生掌握各阶段适用的统计技术。</w:t>
            </w:r>
          </w:p>
          <w:p w14:paraId="59ACCADB">
            <w:pPr>
              <w:spacing w:line="360" w:lineRule="exact"/>
              <w:rPr>
                <w:rFonts w:cs="Times New Roman" w:asciiTheme="minorEastAsia" w:hAnsiTheme="minorEastAsia"/>
              </w:rPr>
            </w:pPr>
            <w:r>
              <w:rPr>
                <w:rFonts w:hint="eastAsia" w:cs="Times New Roman" w:asciiTheme="minorEastAsia" w:hAnsiTheme="minorEastAsia"/>
              </w:rPr>
              <w:t>3</w:t>
            </w:r>
            <w:r>
              <w:rPr>
                <w:rFonts w:cs="Times New Roman" w:asciiTheme="minorEastAsia" w:hAnsiTheme="minorEastAsia"/>
              </w:rPr>
              <w:t>.</w:t>
            </w:r>
            <w:r>
              <w:rPr>
                <w:rFonts w:hint="eastAsia" w:cs="Times New Roman" w:asciiTheme="minorEastAsia" w:hAnsiTheme="minorEastAsia"/>
              </w:rPr>
              <w:t>引导学生学习其不计较个人得失、老当益壮、勇于探究和追求真理的精神，培养学生的事业心。</w:t>
            </w:r>
          </w:p>
        </w:tc>
        <w:tc>
          <w:tcPr>
            <w:tcW w:w="724" w:type="dxa"/>
            <w:vAlign w:val="center"/>
          </w:tcPr>
          <w:p w14:paraId="00B0EC94">
            <w:pPr>
              <w:adjustRightInd w:val="0"/>
              <w:jc w:val="center"/>
            </w:pPr>
            <w:r>
              <w:rPr>
                <w:rFonts w:hint="eastAsia" w:cs="Times New Roman" w:asciiTheme="minorEastAsia" w:hAnsiTheme="minorEastAsia"/>
              </w:rPr>
              <w:t>14</w:t>
            </w:r>
          </w:p>
        </w:tc>
      </w:tr>
      <w:tr w14:paraId="49CB9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84353A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6</w:t>
            </w:r>
          </w:p>
        </w:tc>
        <w:tc>
          <w:tcPr>
            <w:tcW w:w="1089" w:type="dxa"/>
            <w:vAlign w:val="center"/>
          </w:tcPr>
          <w:p w14:paraId="41589C0F">
            <w:pPr>
              <w:adjustRightInd w:val="0"/>
              <w:jc w:val="center"/>
            </w:pPr>
            <w:r>
              <w:rPr>
                <w:rFonts w:hint="eastAsia"/>
              </w:rPr>
              <w:t>过程质量控制</w:t>
            </w:r>
          </w:p>
        </w:tc>
        <w:tc>
          <w:tcPr>
            <w:tcW w:w="2880" w:type="dxa"/>
            <w:vAlign w:val="center"/>
          </w:tcPr>
          <w:p w14:paraId="01E903A1">
            <w:pPr>
              <w:tabs>
                <w:tab w:val="left" w:pos="312"/>
              </w:tabs>
            </w:pPr>
            <w:r>
              <w:rPr>
                <w:rFonts w:hint="eastAsia"/>
              </w:rPr>
              <w:t>1.掌握过程能力、过程能力指数的概述；</w:t>
            </w:r>
          </w:p>
          <w:p w14:paraId="2D747C42">
            <w:pPr>
              <w:tabs>
                <w:tab w:val="left" w:pos="312"/>
              </w:tabs>
            </w:pPr>
            <w:r>
              <w:rPr>
                <w:rFonts w:hint="eastAsia"/>
              </w:rPr>
              <w:t>2.掌握过程能力指数的核算；</w:t>
            </w:r>
          </w:p>
          <w:p w14:paraId="6C128458">
            <w:pPr>
              <w:tabs>
                <w:tab w:val="left" w:pos="312"/>
              </w:tabs>
            </w:pPr>
            <w:r>
              <w:rPr>
                <w:rFonts w:hint="eastAsia"/>
              </w:rPr>
              <w:t>3.掌握过程能力的评价与处理。</w:t>
            </w:r>
          </w:p>
        </w:tc>
        <w:tc>
          <w:tcPr>
            <w:tcW w:w="2682" w:type="dxa"/>
            <w:vAlign w:val="center"/>
          </w:tcPr>
          <w:p w14:paraId="37BCEA4F">
            <w:pPr>
              <w:widowControl/>
            </w:pPr>
            <w:r>
              <w:rPr>
                <w:rFonts w:hint="eastAsia"/>
              </w:rPr>
              <w:t>1.通过多媒体课件，指导学生掌握过程能力、过程能力指数的概述；</w:t>
            </w:r>
          </w:p>
          <w:p w14:paraId="3CEDAE79">
            <w:r>
              <w:rPr>
                <w:rFonts w:hint="eastAsia"/>
              </w:rPr>
              <w:t>2.通过案例，指导学生掌握过程能力指数的核算；</w:t>
            </w:r>
          </w:p>
          <w:p w14:paraId="1AA44831">
            <w:r>
              <w:rPr>
                <w:rFonts w:hint="eastAsia"/>
              </w:rPr>
              <w:t>3.通过多媒体课件，引导学生掌握过程能力的评价与处理。</w:t>
            </w:r>
          </w:p>
          <w:p w14:paraId="4405FEF5">
            <w:r>
              <w:rPr>
                <w:rFonts w:hint="eastAsia"/>
              </w:rPr>
              <w:t>4</w:t>
            </w:r>
            <w:r>
              <w:t>.</w:t>
            </w:r>
            <w:r>
              <w:rPr>
                <w:rFonts w:hint="eastAsia"/>
              </w:rPr>
              <w:t>让学生学习既重视统计理论与方法研究，更强调理论联系实际、解决实际问题的统计思想。</w:t>
            </w:r>
          </w:p>
        </w:tc>
        <w:tc>
          <w:tcPr>
            <w:tcW w:w="724" w:type="dxa"/>
            <w:vAlign w:val="center"/>
          </w:tcPr>
          <w:p w14:paraId="223D5F7E">
            <w:pPr>
              <w:adjustRightInd w:val="0"/>
              <w:jc w:val="center"/>
            </w:pPr>
            <w:r>
              <w:rPr>
                <w:rFonts w:hint="eastAsia" w:cs="Times New Roman" w:asciiTheme="minorEastAsia" w:hAnsiTheme="minorEastAsia"/>
              </w:rPr>
              <w:t>12</w:t>
            </w:r>
          </w:p>
        </w:tc>
      </w:tr>
    </w:tbl>
    <w:p w14:paraId="07C5EBC4">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6792FB49">
      <w:pPr>
        <w:pStyle w:val="17"/>
        <w:spacing w:after="0" w:line="400" w:lineRule="exact"/>
        <w:ind w:firstLine="480" w:firstLineChars="200"/>
        <w:rPr>
          <w:sz w:val="24"/>
          <w:szCs w:val="24"/>
        </w:rPr>
      </w:pPr>
      <w:r>
        <w:rPr>
          <w:rFonts w:hint="eastAsia"/>
          <w:sz w:val="24"/>
          <w:szCs w:val="24"/>
        </w:rPr>
        <w:t>1.教学方法</w:t>
      </w:r>
    </w:p>
    <w:p w14:paraId="71036134">
      <w:pPr>
        <w:pStyle w:val="17"/>
        <w:spacing w:after="0" w:line="400" w:lineRule="exact"/>
        <w:ind w:firstLine="480" w:firstLineChars="200"/>
        <w:rPr>
          <w:bCs/>
          <w:sz w:val="24"/>
          <w:szCs w:val="24"/>
        </w:rPr>
      </w:pPr>
      <w:r>
        <w:rPr>
          <w:rFonts w:hint="eastAsia"/>
          <w:bCs/>
          <w:sz w:val="24"/>
          <w:szCs w:val="24"/>
        </w:rPr>
        <w:t>本课程通过设计典型工作项目，对应具体学习性工作任务，灵活运用情境教学法、任务驱动法、讲授法、案例分析法、讨论法、头脑风暴法、角色扮演法等教学方法，引导学生积极思考、乐于实践，增强教学效果。</w:t>
      </w:r>
    </w:p>
    <w:p w14:paraId="0D6837C9">
      <w:pPr>
        <w:pStyle w:val="17"/>
        <w:spacing w:after="0" w:line="400" w:lineRule="exact"/>
        <w:ind w:firstLine="480" w:firstLineChars="200"/>
        <w:rPr>
          <w:bCs/>
          <w:sz w:val="24"/>
          <w:szCs w:val="24"/>
        </w:rPr>
      </w:pPr>
      <w:r>
        <w:rPr>
          <w:rFonts w:hint="eastAsia"/>
          <w:bCs/>
          <w:sz w:val="24"/>
          <w:szCs w:val="24"/>
        </w:rPr>
        <w:t>（1）任务驱动教学法。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14:paraId="1BEE785C">
      <w:pPr>
        <w:pStyle w:val="17"/>
        <w:spacing w:after="0" w:line="400" w:lineRule="exact"/>
        <w:ind w:firstLine="480" w:firstLineChars="200"/>
        <w:rPr>
          <w:bCs/>
          <w:sz w:val="24"/>
          <w:szCs w:val="24"/>
        </w:rPr>
      </w:pPr>
      <w:r>
        <w:rPr>
          <w:rFonts w:hint="eastAsia"/>
          <w:bCs/>
          <w:sz w:val="24"/>
          <w:szCs w:val="24"/>
        </w:rPr>
        <w:t>任务驱动法中穿插了讲授法、案例分析法、分组讨论、头脑风暴法、角色扮演法等教学方法。</w:t>
      </w:r>
    </w:p>
    <w:p w14:paraId="08E06E6E">
      <w:pPr>
        <w:pStyle w:val="17"/>
        <w:spacing w:after="0" w:line="400" w:lineRule="exact"/>
        <w:ind w:firstLine="480" w:firstLineChars="200"/>
        <w:rPr>
          <w:bCs/>
          <w:sz w:val="24"/>
          <w:szCs w:val="24"/>
        </w:rPr>
      </w:pPr>
      <w:r>
        <w:rPr>
          <w:rFonts w:hint="eastAsia"/>
          <w:bCs/>
          <w:sz w:val="24"/>
          <w:szCs w:val="24"/>
        </w:rPr>
        <w:t>（</w:t>
      </w:r>
      <w:r>
        <w:rPr>
          <w:bCs/>
          <w:sz w:val="24"/>
          <w:szCs w:val="24"/>
        </w:rPr>
        <w:t>2</w:t>
      </w:r>
      <w:r>
        <w:rPr>
          <w:rFonts w:hint="eastAsia"/>
          <w:bCs/>
          <w:sz w:val="24"/>
          <w:szCs w:val="24"/>
        </w:rPr>
        <w:t>）情境教学法。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14:paraId="1AAD6E4C">
      <w:pPr>
        <w:pStyle w:val="17"/>
        <w:spacing w:after="0" w:line="400" w:lineRule="exact"/>
        <w:ind w:firstLine="480" w:firstLineChars="200"/>
        <w:rPr>
          <w:bCs/>
          <w:sz w:val="24"/>
          <w:szCs w:val="24"/>
        </w:rPr>
      </w:pPr>
      <w:r>
        <w:rPr>
          <w:rFonts w:hint="eastAsia"/>
          <w:bCs/>
          <w:sz w:val="24"/>
          <w:szCs w:val="24"/>
        </w:rPr>
        <w:t>（</w:t>
      </w:r>
      <w:r>
        <w:rPr>
          <w:bCs/>
          <w:sz w:val="24"/>
          <w:szCs w:val="24"/>
        </w:rPr>
        <w:t>3</w:t>
      </w:r>
      <w:r>
        <w:rPr>
          <w:rFonts w:hint="eastAsia"/>
          <w:bCs/>
          <w:sz w:val="24"/>
          <w:szCs w:val="24"/>
        </w:rPr>
        <w:t>）多边互动教学法。本课程提倡学生之间、师生之间、学生与企业间、教师与企业间的多边互动，通过多向交流，最大程度地发挥各主体之间的相互作用和潜能，形成信息交流的立体网络，使教学效果明显增强。</w:t>
      </w:r>
    </w:p>
    <w:p w14:paraId="41C8783D">
      <w:pPr>
        <w:pStyle w:val="17"/>
        <w:spacing w:after="0" w:line="400" w:lineRule="exact"/>
        <w:ind w:firstLine="480" w:firstLineChars="200"/>
        <w:rPr>
          <w:sz w:val="24"/>
          <w:szCs w:val="24"/>
        </w:rPr>
      </w:pPr>
      <w:r>
        <w:rPr>
          <w:rFonts w:hint="eastAsia"/>
          <w:sz w:val="24"/>
          <w:szCs w:val="24"/>
        </w:rPr>
        <w:t>2.评价方法</w:t>
      </w:r>
    </w:p>
    <w:p w14:paraId="5D776F71">
      <w:pPr>
        <w:pStyle w:val="17"/>
        <w:spacing w:after="0" w:line="400" w:lineRule="exact"/>
        <w:ind w:firstLine="480" w:firstLineChars="200"/>
        <w:rPr>
          <w:sz w:val="24"/>
          <w:szCs w:val="24"/>
        </w:rPr>
      </w:pPr>
      <w:r>
        <w:rPr>
          <w:rFonts w:hint="eastAsia"/>
          <w:bCs/>
          <w:sz w:val="24"/>
          <w:szCs w:val="24"/>
        </w:rPr>
        <w:t>本学习领域最终成绩由单人成绩和小组成绩两部分组成，通过对学习过程和学习结果的评价，对学生知识、技能和能力进行综合考核。其中，理论知识和个人训练项目由教师通过对学生学习过程和结果的综合考核，得出学习成绩分值，该部分成绩占50%。分组进行的训练由教师根据对各小组操作过程和结果的综合考核给出各小组成绩，企业实地参观实践的分数计入小组成绩，小组内按照成员各自的表现和贡献互评，最后由组长确定出各成员的得分，上报任课教师。任课教师将每个学生的单人成绩与小组分配成绩相加，得出该课程的最终考核成绩。</w:t>
      </w:r>
      <w:r>
        <w:rPr>
          <w:rFonts w:hint="eastAsia"/>
          <w:sz w:val="24"/>
          <w:szCs w:val="24"/>
        </w:rPr>
        <w:t>3.教学条件</w:t>
      </w:r>
    </w:p>
    <w:p w14:paraId="4D1A1E82">
      <w:pPr>
        <w:pStyle w:val="17"/>
        <w:spacing w:after="0" w:line="400" w:lineRule="exact"/>
        <w:ind w:firstLine="480" w:firstLineChars="200"/>
        <w:rPr>
          <w:bCs/>
          <w:sz w:val="24"/>
          <w:szCs w:val="24"/>
        </w:rPr>
      </w:pPr>
      <w:r>
        <w:rPr>
          <w:rFonts w:hint="eastAsia"/>
          <w:bCs/>
          <w:sz w:val="24"/>
          <w:szCs w:val="24"/>
        </w:rPr>
        <w:t>校内建有一支结构合理、素质优良、具有良好职业修养的“双师素质”教师队伍，校外有一批既具有丰富的会计实际工作经验，又具有一定理论基础的专家参与学习领域课程标准的制定。校内实践教学条件要求。同时课程技能训练的校内实训基地需能够营造虚实结合、互动参与的实践训练情境，配置各类教学软件和多媒体设备，能访问互联网，能够开展实训项目。本课程编制的“电子教材”、“电子教案”、“复习与训练题”、“技能训练指导模块”、“教学大纲”、“授课计划”、“学习形式”、“考核方式”等内容能够上传网络，满足课堂教学和学生课外学习的需要。学生可通过网络进行远程学习，教师利用网络可对学生进行有针对性地指导。</w:t>
      </w:r>
    </w:p>
    <w:p w14:paraId="6C4772E4">
      <w:pPr>
        <w:pStyle w:val="17"/>
        <w:spacing w:after="0" w:line="400" w:lineRule="exact"/>
        <w:ind w:firstLine="480" w:firstLineChars="200"/>
        <w:rPr>
          <w:bCs/>
          <w:sz w:val="24"/>
          <w:szCs w:val="24"/>
        </w:rPr>
      </w:pPr>
      <w:r>
        <w:rPr>
          <w:rFonts w:hint="eastAsia"/>
          <w:bCs/>
          <w:sz w:val="24"/>
          <w:szCs w:val="24"/>
        </w:rPr>
        <w:t>4.教材编选</w:t>
      </w:r>
    </w:p>
    <w:p w14:paraId="62D04BD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（1）依据本课程标准编写教材，安排合理的必修和选修内容，教材内容应体现以就业为导向，以学生为本的原则，将知识与生活生产实际应用相结合。</w:t>
      </w:r>
    </w:p>
    <w:p w14:paraId="0A8C2366">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（2）教材的教学内容能够很好地反映统计技术应用的新颖性、科学性和实用性。注重教学改革成果。</w:t>
      </w:r>
    </w:p>
    <w:p w14:paraId="04165FF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45599804">
      <w:pPr>
        <w:pStyle w:val="17"/>
        <w:spacing w:line="360" w:lineRule="auto"/>
        <w:jc w:val="center"/>
        <w:rPr>
          <w:rFonts w:ascii="黑体" w:hAnsi="黑体" w:eastAsia="黑体"/>
          <w:sz w:val="28"/>
          <w:szCs w:val="28"/>
        </w:rPr>
      </w:pPr>
    </w:p>
    <w:p w14:paraId="4D9CC529">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2890C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6A3F5729">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722555E3">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342809ED">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3B4D0608">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4F763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3705C419">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491F405B">
            <w:pPr>
              <w:pStyle w:val="178"/>
              <w:spacing w:line="360" w:lineRule="exact"/>
              <w:rPr>
                <w:rFonts w:asciiTheme="minorEastAsia" w:hAnsiTheme="minorEastAsia" w:eastAsiaTheme="minorEastAsia" w:cstheme="minorEastAsia"/>
                <w:spacing w:val="7"/>
                <w:lang w:eastAsia="en-US"/>
              </w:rPr>
            </w:pPr>
            <w:r>
              <w:rPr>
                <w:rFonts w:hint="eastAsia"/>
                <w:bCs/>
                <w:lang w:eastAsia="en-US"/>
              </w:rPr>
              <w:t>统计技术基本概念</w:t>
            </w:r>
          </w:p>
        </w:tc>
        <w:tc>
          <w:tcPr>
            <w:tcW w:w="1980" w:type="dxa"/>
            <w:tcMar>
              <w:top w:w="0" w:type="dxa"/>
              <w:left w:w="108" w:type="dxa"/>
              <w:bottom w:w="0" w:type="dxa"/>
              <w:right w:w="108" w:type="dxa"/>
            </w:tcMar>
            <w:vAlign w:val="center"/>
          </w:tcPr>
          <w:p w14:paraId="31C2609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3964494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77D9A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63F675C5">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3023800C">
            <w:pPr>
              <w:pStyle w:val="178"/>
              <w:spacing w:line="360" w:lineRule="exact"/>
              <w:rPr>
                <w:rFonts w:asciiTheme="minorEastAsia" w:hAnsiTheme="minorEastAsia" w:eastAsiaTheme="minorEastAsia" w:cstheme="minorEastAsia"/>
                <w:spacing w:val="7"/>
                <w:lang w:eastAsia="en-US"/>
              </w:rPr>
            </w:pPr>
            <w:r>
              <w:rPr>
                <w:rFonts w:hint="eastAsia" w:cs="Times New Roman" w:asciiTheme="minorEastAsia" w:hAnsiTheme="minorEastAsia"/>
                <w:lang w:eastAsia="en-US"/>
              </w:rPr>
              <w:t>统计工作表的填写、编制</w:t>
            </w:r>
          </w:p>
        </w:tc>
        <w:tc>
          <w:tcPr>
            <w:tcW w:w="1980" w:type="dxa"/>
            <w:tcMar>
              <w:top w:w="0" w:type="dxa"/>
              <w:left w:w="108" w:type="dxa"/>
              <w:bottom w:w="0" w:type="dxa"/>
              <w:right w:w="108" w:type="dxa"/>
            </w:tcMar>
            <w:vAlign w:val="center"/>
          </w:tcPr>
          <w:p w14:paraId="10EA28D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1E9C9C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5C12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CCB7F50">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5651FCA8">
            <w:pPr>
              <w:pStyle w:val="178"/>
              <w:spacing w:line="360" w:lineRule="exact"/>
              <w:rPr>
                <w:rFonts w:asciiTheme="minorEastAsia" w:hAnsiTheme="minorEastAsia" w:eastAsiaTheme="minorEastAsia" w:cstheme="minorEastAsia"/>
                <w:spacing w:val="7"/>
                <w:lang w:eastAsia="en-US"/>
              </w:rPr>
            </w:pPr>
            <w:r>
              <w:rPr>
                <w:rFonts w:hint="eastAsia"/>
                <w:bCs/>
                <w:lang w:eastAsia="en-US"/>
              </w:rPr>
              <w:t>常用统计技术概述</w:t>
            </w:r>
          </w:p>
        </w:tc>
        <w:tc>
          <w:tcPr>
            <w:tcW w:w="1980" w:type="dxa"/>
            <w:tcMar>
              <w:top w:w="0" w:type="dxa"/>
              <w:left w:w="108" w:type="dxa"/>
              <w:bottom w:w="0" w:type="dxa"/>
              <w:right w:w="108" w:type="dxa"/>
            </w:tcMar>
            <w:vAlign w:val="center"/>
          </w:tcPr>
          <w:p w14:paraId="3FD47D08">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27AD1A05">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2159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6A2E7F29">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00CC75EF">
            <w:pPr>
              <w:pStyle w:val="178"/>
              <w:spacing w:line="360" w:lineRule="exact"/>
              <w:rPr>
                <w:rFonts w:asciiTheme="minorEastAsia" w:hAnsiTheme="minorEastAsia" w:eastAsiaTheme="minorEastAsia" w:cstheme="minorEastAsia"/>
                <w:spacing w:val="7"/>
                <w:lang w:eastAsia="en-US"/>
              </w:rPr>
            </w:pPr>
            <w:r>
              <w:rPr>
                <w:rFonts w:hint="eastAsia"/>
                <w:bCs/>
                <w:lang w:eastAsia="en-US"/>
              </w:rPr>
              <w:t>与统计技术相关的标准和资料</w:t>
            </w:r>
          </w:p>
        </w:tc>
        <w:tc>
          <w:tcPr>
            <w:tcW w:w="1980" w:type="dxa"/>
            <w:tcMar>
              <w:top w:w="0" w:type="dxa"/>
              <w:left w:w="108" w:type="dxa"/>
              <w:bottom w:w="0" w:type="dxa"/>
              <w:right w:w="108" w:type="dxa"/>
            </w:tcMar>
            <w:vAlign w:val="center"/>
          </w:tcPr>
          <w:p w14:paraId="274B76A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2</w:t>
            </w:r>
          </w:p>
        </w:tc>
        <w:tc>
          <w:tcPr>
            <w:tcW w:w="2182" w:type="dxa"/>
            <w:tcMar>
              <w:top w:w="0" w:type="dxa"/>
              <w:left w:w="108" w:type="dxa"/>
              <w:bottom w:w="0" w:type="dxa"/>
              <w:right w:w="108" w:type="dxa"/>
            </w:tcMar>
            <w:vAlign w:val="center"/>
          </w:tcPr>
          <w:p w14:paraId="7CA951C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444BE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3093E604">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7A3B984D">
            <w:pPr>
              <w:pStyle w:val="178"/>
              <w:spacing w:line="360" w:lineRule="exact"/>
              <w:rPr>
                <w:rFonts w:asciiTheme="minorEastAsia" w:hAnsiTheme="minorEastAsia" w:eastAsiaTheme="minorEastAsia" w:cstheme="minorEastAsia"/>
                <w:spacing w:val="7"/>
                <w:lang w:eastAsia="en-US"/>
              </w:rPr>
            </w:pPr>
            <w:r>
              <w:rPr>
                <w:rFonts w:hint="eastAsia"/>
                <w:bCs/>
                <w:lang w:eastAsia="en-US"/>
              </w:rPr>
              <w:t>PDCA各阶段适用技术</w:t>
            </w:r>
          </w:p>
        </w:tc>
        <w:tc>
          <w:tcPr>
            <w:tcW w:w="1980" w:type="dxa"/>
            <w:tcMar>
              <w:top w:w="0" w:type="dxa"/>
              <w:left w:w="108" w:type="dxa"/>
              <w:bottom w:w="0" w:type="dxa"/>
              <w:right w:w="108" w:type="dxa"/>
            </w:tcMar>
            <w:vAlign w:val="center"/>
          </w:tcPr>
          <w:p w14:paraId="5F2A7BD0">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14</w:t>
            </w:r>
          </w:p>
        </w:tc>
        <w:tc>
          <w:tcPr>
            <w:tcW w:w="2182" w:type="dxa"/>
            <w:tcMar>
              <w:top w:w="0" w:type="dxa"/>
              <w:left w:w="108" w:type="dxa"/>
              <w:bottom w:w="0" w:type="dxa"/>
              <w:right w:w="108" w:type="dxa"/>
            </w:tcMar>
            <w:vAlign w:val="center"/>
          </w:tcPr>
          <w:p w14:paraId="4EB6F207">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r w14:paraId="7AFD3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38335F2">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6</w:t>
            </w:r>
          </w:p>
        </w:tc>
        <w:tc>
          <w:tcPr>
            <w:tcW w:w="3079" w:type="dxa"/>
            <w:tcMar>
              <w:top w:w="0" w:type="dxa"/>
              <w:left w:w="108" w:type="dxa"/>
              <w:bottom w:w="0" w:type="dxa"/>
              <w:right w:w="108" w:type="dxa"/>
            </w:tcMar>
            <w:vAlign w:val="center"/>
          </w:tcPr>
          <w:p w14:paraId="0B0B94EB">
            <w:pPr>
              <w:pStyle w:val="178"/>
              <w:spacing w:line="360" w:lineRule="exact"/>
              <w:rPr>
                <w:rFonts w:asciiTheme="minorEastAsia" w:hAnsiTheme="minorEastAsia" w:eastAsiaTheme="minorEastAsia" w:cstheme="minorEastAsia"/>
                <w:spacing w:val="7"/>
                <w:lang w:eastAsia="en-US"/>
              </w:rPr>
            </w:pPr>
            <w:r>
              <w:rPr>
                <w:rFonts w:hint="eastAsia" w:ascii="宋体" w:hAnsi="宋体" w:cs="宋体"/>
                <w:lang w:eastAsia="en-US"/>
              </w:rPr>
              <w:t>过程质量控制</w:t>
            </w:r>
          </w:p>
        </w:tc>
        <w:tc>
          <w:tcPr>
            <w:tcW w:w="1980" w:type="dxa"/>
            <w:tcMar>
              <w:top w:w="0" w:type="dxa"/>
              <w:left w:w="108" w:type="dxa"/>
              <w:bottom w:w="0" w:type="dxa"/>
              <w:right w:w="108" w:type="dxa"/>
            </w:tcMar>
            <w:vAlign w:val="center"/>
          </w:tcPr>
          <w:p w14:paraId="785AFF3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12</w:t>
            </w:r>
          </w:p>
        </w:tc>
        <w:tc>
          <w:tcPr>
            <w:tcW w:w="2182" w:type="dxa"/>
            <w:tcMar>
              <w:top w:w="0" w:type="dxa"/>
              <w:left w:w="108" w:type="dxa"/>
              <w:bottom w:w="0" w:type="dxa"/>
              <w:right w:w="108" w:type="dxa"/>
            </w:tcMar>
            <w:vAlign w:val="center"/>
          </w:tcPr>
          <w:p w14:paraId="12A2464C">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讲授法、任务驱动法</w:t>
            </w:r>
          </w:p>
        </w:tc>
      </w:tr>
    </w:tbl>
    <w:p w14:paraId="19A5D959">
      <w:pPr>
        <w:spacing w:line="360" w:lineRule="auto"/>
        <w:outlineLvl w:val="0"/>
        <w:rPr>
          <w:rFonts w:ascii="黑体" w:hAnsi="黑体" w:eastAsia="黑体"/>
          <w:sz w:val="24"/>
          <w:szCs w:val="24"/>
        </w:rPr>
      </w:pPr>
    </w:p>
    <w:p w14:paraId="014A7785">
      <w:pPr>
        <w:pStyle w:val="40"/>
        <w:ind w:firstLine="240"/>
        <w:rPr>
          <w:rFonts w:ascii="黑体" w:hAnsi="黑体" w:eastAsia="黑体"/>
          <w:sz w:val="24"/>
          <w:szCs w:val="24"/>
        </w:rPr>
      </w:pPr>
    </w:p>
    <w:p w14:paraId="08A2A1CB">
      <w:pPr>
        <w:pStyle w:val="40"/>
        <w:ind w:firstLine="240"/>
        <w:rPr>
          <w:rFonts w:ascii="黑体" w:hAnsi="黑体" w:eastAsia="黑体"/>
          <w:sz w:val="24"/>
          <w:szCs w:val="24"/>
        </w:rPr>
      </w:pPr>
    </w:p>
    <w:p w14:paraId="7ED178D9">
      <w:pPr>
        <w:pStyle w:val="40"/>
        <w:ind w:firstLine="240"/>
        <w:rPr>
          <w:rFonts w:ascii="黑体" w:hAnsi="黑体" w:eastAsia="黑体"/>
          <w:sz w:val="24"/>
          <w:szCs w:val="24"/>
        </w:rPr>
      </w:pPr>
    </w:p>
    <w:p w14:paraId="07FAD495">
      <w:pPr>
        <w:pStyle w:val="40"/>
        <w:ind w:firstLine="240"/>
        <w:rPr>
          <w:rFonts w:ascii="黑体" w:hAnsi="黑体" w:eastAsia="黑体"/>
          <w:sz w:val="24"/>
          <w:szCs w:val="24"/>
        </w:rPr>
      </w:pPr>
    </w:p>
    <w:p w14:paraId="2065E668">
      <w:pPr>
        <w:pStyle w:val="40"/>
        <w:ind w:firstLine="240"/>
        <w:rPr>
          <w:rFonts w:ascii="黑体" w:hAnsi="黑体" w:eastAsia="黑体"/>
          <w:sz w:val="24"/>
          <w:szCs w:val="24"/>
        </w:rPr>
      </w:pPr>
    </w:p>
    <w:p w14:paraId="779C2E59">
      <w:pPr>
        <w:pStyle w:val="40"/>
        <w:ind w:firstLine="240"/>
        <w:rPr>
          <w:rFonts w:ascii="黑体" w:hAnsi="黑体" w:eastAsia="黑体"/>
          <w:sz w:val="24"/>
          <w:szCs w:val="24"/>
        </w:rPr>
      </w:pPr>
    </w:p>
    <w:p w14:paraId="27B8BB2E">
      <w:pPr>
        <w:pStyle w:val="40"/>
        <w:ind w:firstLine="240"/>
        <w:rPr>
          <w:rFonts w:ascii="黑体" w:hAnsi="黑体" w:eastAsia="黑体"/>
          <w:sz w:val="24"/>
          <w:szCs w:val="24"/>
        </w:rPr>
      </w:pPr>
    </w:p>
    <w:p w14:paraId="37DAB679">
      <w:pPr>
        <w:pStyle w:val="40"/>
        <w:ind w:firstLine="240"/>
        <w:rPr>
          <w:rFonts w:ascii="黑体" w:hAnsi="黑体" w:eastAsia="黑体"/>
          <w:sz w:val="24"/>
          <w:szCs w:val="24"/>
        </w:rPr>
      </w:pPr>
    </w:p>
    <w:p w14:paraId="3B1BDE6C">
      <w:pPr>
        <w:pStyle w:val="40"/>
        <w:ind w:firstLine="240"/>
        <w:rPr>
          <w:rFonts w:ascii="黑体" w:hAnsi="黑体" w:eastAsia="黑体"/>
          <w:sz w:val="24"/>
          <w:szCs w:val="24"/>
        </w:rPr>
      </w:pPr>
    </w:p>
    <w:p w14:paraId="25C8EB31">
      <w:pPr>
        <w:pStyle w:val="40"/>
        <w:ind w:firstLine="240"/>
        <w:rPr>
          <w:rFonts w:ascii="黑体" w:hAnsi="黑体" w:eastAsia="黑体"/>
          <w:sz w:val="24"/>
          <w:szCs w:val="24"/>
        </w:rPr>
      </w:pPr>
    </w:p>
    <w:p w14:paraId="49829B27">
      <w:pPr>
        <w:pStyle w:val="40"/>
        <w:ind w:firstLine="240"/>
        <w:rPr>
          <w:rFonts w:ascii="黑体" w:hAnsi="黑体" w:eastAsia="黑体"/>
          <w:sz w:val="24"/>
          <w:szCs w:val="24"/>
        </w:rPr>
      </w:pPr>
    </w:p>
    <w:p w14:paraId="0E737606">
      <w:pPr>
        <w:pStyle w:val="40"/>
        <w:ind w:firstLine="240"/>
        <w:rPr>
          <w:rFonts w:ascii="黑体" w:hAnsi="黑体" w:eastAsia="黑体"/>
          <w:sz w:val="24"/>
          <w:szCs w:val="24"/>
        </w:rPr>
      </w:pPr>
    </w:p>
    <w:p w14:paraId="234B1BA0">
      <w:pPr>
        <w:pStyle w:val="40"/>
        <w:ind w:firstLine="240"/>
        <w:rPr>
          <w:rFonts w:ascii="黑体" w:hAnsi="黑体" w:eastAsia="黑体"/>
          <w:sz w:val="24"/>
          <w:szCs w:val="24"/>
        </w:rPr>
      </w:pPr>
    </w:p>
    <w:p w14:paraId="6F42DA56">
      <w:pPr>
        <w:pStyle w:val="40"/>
        <w:ind w:firstLine="240"/>
        <w:rPr>
          <w:rFonts w:ascii="黑体" w:hAnsi="黑体" w:eastAsia="黑体"/>
          <w:sz w:val="24"/>
          <w:szCs w:val="24"/>
        </w:rPr>
      </w:pPr>
    </w:p>
    <w:p w14:paraId="543A0958">
      <w:pPr>
        <w:pStyle w:val="40"/>
        <w:ind w:firstLine="240"/>
        <w:rPr>
          <w:rFonts w:ascii="黑体" w:hAnsi="黑体" w:eastAsia="黑体"/>
          <w:sz w:val="24"/>
          <w:szCs w:val="24"/>
        </w:rPr>
      </w:pPr>
    </w:p>
    <w:p w14:paraId="07482D22">
      <w:pPr>
        <w:pStyle w:val="40"/>
        <w:ind w:firstLine="240"/>
        <w:rPr>
          <w:rFonts w:ascii="黑体" w:hAnsi="黑体" w:eastAsia="黑体"/>
          <w:sz w:val="24"/>
          <w:szCs w:val="24"/>
        </w:rPr>
      </w:pPr>
    </w:p>
    <w:p w14:paraId="3343EA7B">
      <w:pPr>
        <w:pStyle w:val="40"/>
        <w:ind w:firstLine="240"/>
        <w:rPr>
          <w:rFonts w:ascii="黑体" w:hAnsi="黑体" w:eastAsia="黑体"/>
          <w:sz w:val="24"/>
          <w:szCs w:val="24"/>
        </w:rPr>
      </w:pPr>
    </w:p>
    <w:p w14:paraId="1CD74B61">
      <w:pPr>
        <w:pStyle w:val="40"/>
        <w:ind w:firstLine="240"/>
        <w:rPr>
          <w:rFonts w:ascii="黑体" w:hAnsi="黑体" w:eastAsia="黑体"/>
          <w:sz w:val="24"/>
          <w:szCs w:val="24"/>
        </w:rPr>
      </w:pPr>
    </w:p>
    <w:p w14:paraId="31C12163">
      <w:pPr>
        <w:pStyle w:val="40"/>
        <w:ind w:firstLine="240"/>
        <w:rPr>
          <w:rFonts w:ascii="黑体" w:hAnsi="黑体" w:eastAsia="黑体"/>
          <w:sz w:val="24"/>
          <w:szCs w:val="24"/>
        </w:rPr>
      </w:pPr>
    </w:p>
    <w:p w14:paraId="2441C52C">
      <w:pPr>
        <w:pStyle w:val="40"/>
        <w:ind w:firstLine="240"/>
        <w:rPr>
          <w:rFonts w:ascii="黑体" w:hAnsi="黑体" w:eastAsia="黑体"/>
          <w:sz w:val="24"/>
          <w:szCs w:val="24"/>
        </w:rPr>
      </w:pPr>
    </w:p>
    <w:p w14:paraId="047B9D21">
      <w:pPr>
        <w:pStyle w:val="40"/>
        <w:ind w:firstLine="240"/>
        <w:rPr>
          <w:rFonts w:ascii="黑体" w:hAnsi="黑体" w:eastAsia="黑体"/>
          <w:sz w:val="24"/>
          <w:szCs w:val="24"/>
        </w:rPr>
      </w:pPr>
    </w:p>
    <w:p w14:paraId="4F42E140">
      <w:pPr>
        <w:pStyle w:val="17"/>
        <w:spacing w:before="156" w:beforeLines="50" w:after="156" w:afterLines="50"/>
        <w:jc w:val="center"/>
        <w:outlineLvl w:val="2"/>
        <w:rPr>
          <w:rFonts w:ascii="黑体" w:hAnsi="黑体" w:eastAsia="黑体" w:cs="黑体"/>
          <w:sz w:val="30"/>
          <w:szCs w:val="30"/>
        </w:rPr>
      </w:pPr>
      <w:bookmarkStart w:id="181" w:name="_Toc5491"/>
      <w:bookmarkStart w:id="182" w:name="_Toc32211"/>
      <w:bookmarkStart w:id="183" w:name="_Toc4398"/>
      <w:r>
        <w:rPr>
          <w:rFonts w:hint="eastAsia" w:ascii="黑体" w:hAnsi="黑体" w:eastAsia="黑体" w:cs="黑体"/>
          <w:sz w:val="30"/>
          <w:szCs w:val="30"/>
        </w:rPr>
        <w:t>财务机器人课程标准</w:t>
      </w:r>
      <w:bookmarkEnd w:id="181"/>
      <w:bookmarkEnd w:id="182"/>
      <w:bookmarkEnd w:id="183"/>
    </w:p>
    <w:p w14:paraId="455FA499">
      <w:pPr>
        <w:pStyle w:val="17"/>
        <w:spacing w:after="0" w:line="400" w:lineRule="exact"/>
        <w:ind w:firstLine="560" w:firstLineChars="200"/>
        <w:rPr>
          <w:rFonts w:ascii="楷体_GB2312" w:eastAsia="楷体_GB2312"/>
          <w:sz w:val="28"/>
          <w:szCs w:val="28"/>
        </w:rPr>
      </w:pPr>
    </w:p>
    <w:p w14:paraId="3E8DF058">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（一）课程性质与任务</w:t>
      </w:r>
    </w:p>
    <w:p w14:paraId="142FC66F">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本课程是中等职业学校会计事务专业的一门专业拓展课程，客户服务工作必须学习的课程，将为后续学习其他专业方向（或专业）课程奠定基础。</w:t>
      </w:r>
    </w:p>
    <w:p w14:paraId="23775535">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本课程旨在学生通过对财务机器人应用工作的了解，熟悉财务机器人RPA技术在财务领域的具体应用，财务机器人针对财务的业务内容和流程特点，以自动化替代财务手工操作，辅助财务人员完成交易量大、重复性高、易于标准化的基础业务，从而优化财务流程，提高业务处理效率和质量，减少财务合规风险，使资源分配在更多的增值业务上，促进财务转型。 在财务机器人出现之前，财务工作进程的推进通过财务人员人工操作或信息系统自动化的方式实现为今后从事该项工作打下良好的基础。</w:t>
      </w:r>
    </w:p>
    <w:p w14:paraId="54756081">
      <w:pPr>
        <w:pStyle w:val="17"/>
        <w:spacing w:after="0" w:line="400" w:lineRule="exact"/>
        <w:ind w:firstLine="480" w:firstLineChars="200"/>
        <w:rPr>
          <w:sz w:val="24"/>
          <w:szCs w:val="24"/>
        </w:rPr>
      </w:pPr>
      <w:r>
        <w:rPr>
          <w:rFonts w:hint="eastAsia" w:ascii="楷体_GB2312" w:eastAsia="楷体_GB2312"/>
          <w:sz w:val="24"/>
          <w:szCs w:val="24"/>
        </w:rPr>
        <w:t>（二）课程教学目标</w:t>
      </w:r>
    </w:p>
    <w:p w14:paraId="112E2B92">
      <w:pPr>
        <w:pStyle w:val="17"/>
        <w:spacing w:after="0" w:line="400" w:lineRule="exact"/>
        <w:ind w:firstLine="480" w:firstLineChars="200"/>
        <w:rPr>
          <w:sz w:val="24"/>
          <w:szCs w:val="24"/>
        </w:rPr>
      </w:pPr>
      <w:r>
        <w:rPr>
          <w:rFonts w:hint="eastAsia"/>
          <w:sz w:val="24"/>
          <w:szCs w:val="24"/>
        </w:rPr>
        <w:t>1</w:t>
      </w:r>
      <w:r>
        <w:rPr>
          <w:sz w:val="24"/>
          <w:szCs w:val="24"/>
        </w:rPr>
        <w:t>.素质目标</w:t>
      </w:r>
    </w:p>
    <w:p w14:paraId="44E5ED93">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（1）具备从事会计工作的基本道德、职业素质，严格遵守现行的各项法律法规；</w:t>
      </w:r>
    </w:p>
    <w:p w14:paraId="5940B79F">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（2）具备严格按照要求执行财务应用相关工作的职业能力和素质；</w:t>
      </w:r>
    </w:p>
    <w:p w14:paraId="2716FB6E">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（3）具备良好的沟通和合作的能力；</w:t>
      </w:r>
    </w:p>
    <w:p w14:paraId="130C986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（4）具备审慎的工作态度和风险意识；</w:t>
      </w:r>
    </w:p>
    <w:p w14:paraId="73C41089">
      <w:pPr>
        <w:pStyle w:val="2"/>
        <w:spacing w:line="400" w:lineRule="exact"/>
        <w:ind w:firstLine="480"/>
        <w:rPr>
          <w:rFonts w:ascii="仿宋_GB2312" w:cs="仿宋_GB2312"/>
          <w:sz w:val="24"/>
          <w:szCs w:val="24"/>
        </w:rPr>
      </w:pPr>
      <w:r>
        <w:rPr>
          <w:rFonts w:hint="eastAsia" w:ascii="仿宋_GB2312" w:hAnsi="仿宋_GB2312" w:cs="仿宋_GB2312"/>
          <w:sz w:val="24"/>
          <w:szCs w:val="24"/>
        </w:rPr>
        <w:t>（5）具备不断学习新的财务实务法律法规、自觉关注财务机器人应用管理新法规的能力。</w:t>
      </w:r>
    </w:p>
    <w:p w14:paraId="619D012C">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2.知识目标</w:t>
      </w:r>
    </w:p>
    <w:p w14:paraId="607B857C">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（1）了解财务机器人理论教学；</w:t>
      </w:r>
    </w:p>
    <w:p w14:paraId="09CA6D40">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（2）熟悉财务机器人案例分析；</w:t>
      </w:r>
    </w:p>
    <w:p w14:paraId="02462C3E">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（3）了解机器人分析与设计沙盘推演实验；</w:t>
      </w:r>
    </w:p>
    <w:p w14:paraId="30C582BE">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hAnsi="仿宋_GB2312" w:cs="仿宋_GB2312"/>
          <w:sz w:val="24"/>
          <w:szCs w:val="24"/>
        </w:rPr>
        <w:t>（4）了解机器人开发软件操作实验；</w:t>
      </w:r>
    </w:p>
    <w:p w14:paraId="465B6C43">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3.能力目标</w:t>
      </w:r>
    </w:p>
    <w:p w14:paraId="42A043A0">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（1）能具备从事财务机器人工作最基本的基础知识；</w:t>
      </w:r>
    </w:p>
    <w:p w14:paraId="1B0D6271">
      <w:pPr>
        <w:pStyle w:val="2"/>
        <w:spacing w:line="400" w:lineRule="exact"/>
        <w:ind w:firstLine="480"/>
        <w:rPr>
          <w:rFonts w:ascii="仿宋_GB2312" w:hAnsi="仿宋_GB2312" w:cs="仿宋_GB2312"/>
          <w:sz w:val="24"/>
          <w:szCs w:val="24"/>
        </w:rPr>
      </w:pPr>
      <w:r>
        <w:rPr>
          <w:rFonts w:hint="eastAsia" w:ascii="仿宋_GB2312" w:hAnsi="仿宋_GB2312" w:cs="仿宋_GB2312"/>
          <w:sz w:val="24"/>
          <w:szCs w:val="24"/>
        </w:rPr>
        <w:t>（2）能根据不同业务进行不同的设计与实验；</w:t>
      </w:r>
    </w:p>
    <w:p w14:paraId="1C3C9203">
      <w:pPr>
        <w:pStyle w:val="2"/>
        <w:spacing w:line="400" w:lineRule="exact"/>
        <w:ind w:firstLine="480"/>
        <w:rPr>
          <w:rFonts w:ascii="楷体_GB2312" w:hAnsi="Times New Roman" w:eastAsia="楷体_GB2312"/>
          <w:sz w:val="24"/>
          <w:szCs w:val="24"/>
        </w:rPr>
      </w:pPr>
      <w:r>
        <w:rPr>
          <w:rFonts w:hint="eastAsia" w:ascii="仿宋_GB2312" w:hAnsi="仿宋_GB2312" w:cs="仿宋_GB2312"/>
          <w:sz w:val="24"/>
          <w:szCs w:val="24"/>
        </w:rPr>
        <w:t>（3）能掌握机器人开发的操作实验。</w:t>
      </w:r>
    </w:p>
    <w:p w14:paraId="7988EAEE">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（三）参考学时</w:t>
      </w:r>
    </w:p>
    <w:p w14:paraId="0179B837">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36学时。</w:t>
      </w:r>
    </w:p>
    <w:p w14:paraId="577000AD">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（四）课程学分</w:t>
      </w:r>
    </w:p>
    <w:p w14:paraId="113FA846">
      <w:pPr>
        <w:autoSpaceDE w:val="0"/>
        <w:autoSpaceDN w:val="0"/>
        <w:adjustRightInd w:val="0"/>
        <w:spacing w:line="40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2学分。</w:t>
      </w:r>
    </w:p>
    <w:p w14:paraId="525A54C3">
      <w:pPr>
        <w:pStyle w:val="17"/>
        <w:spacing w:after="0" w:line="400" w:lineRule="exact"/>
        <w:ind w:firstLine="480" w:firstLineChars="200"/>
        <w:rPr>
          <w:rFonts w:ascii="楷体_GB2312" w:eastAsia="楷体_GB2312"/>
          <w:sz w:val="24"/>
          <w:szCs w:val="24"/>
        </w:rPr>
      </w:pPr>
      <w:r>
        <w:rPr>
          <w:rFonts w:hint="eastAsia" w:ascii="楷体_GB2312" w:eastAsia="楷体_GB2312"/>
          <w:sz w:val="24"/>
          <w:szCs w:val="24"/>
        </w:rPr>
        <w:t>（五）课程内容和要求</w:t>
      </w:r>
    </w:p>
    <w:tbl>
      <w:tblPr>
        <w:tblStyle w:val="42"/>
        <w:tblW w:w="8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89"/>
        <w:gridCol w:w="2880"/>
        <w:gridCol w:w="2682"/>
        <w:gridCol w:w="724"/>
      </w:tblGrid>
      <w:tr w14:paraId="2F7AA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72" w:type="dxa"/>
            <w:shd w:val="clear" w:color="auto" w:fill="BEBEBE" w:themeFill="background1" w:themeFillShade="BF"/>
            <w:vAlign w:val="center"/>
          </w:tcPr>
          <w:p w14:paraId="225EF74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序号</w:t>
            </w:r>
          </w:p>
        </w:tc>
        <w:tc>
          <w:tcPr>
            <w:tcW w:w="1089" w:type="dxa"/>
            <w:shd w:val="clear" w:color="auto" w:fill="BEBEBE" w:themeFill="background1" w:themeFillShade="BF"/>
            <w:vAlign w:val="center"/>
          </w:tcPr>
          <w:p w14:paraId="705B979F">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教学项目</w:t>
            </w:r>
          </w:p>
        </w:tc>
        <w:tc>
          <w:tcPr>
            <w:tcW w:w="2880" w:type="dxa"/>
            <w:shd w:val="clear" w:color="auto" w:fill="BEBEBE" w:themeFill="background1" w:themeFillShade="BF"/>
            <w:vAlign w:val="center"/>
          </w:tcPr>
          <w:p w14:paraId="12565929">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教学内容与教学要求</w:t>
            </w:r>
          </w:p>
        </w:tc>
        <w:tc>
          <w:tcPr>
            <w:tcW w:w="2682" w:type="dxa"/>
            <w:shd w:val="clear" w:color="auto" w:fill="BEBEBE" w:themeFill="background1" w:themeFillShade="BF"/>
            <w:vAlign w:val="center"/>
          </w:tcPr>
          <w:p w14:paraId="184683C8">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教学活动设计建议</w:t>
            </w:r>
          </w:p>
        </w:tc>
        <w:tc>
          <w:tcPr>
            <w:tcW w:w="724" w:type="dxa"/>
            <w:shd w:val="clear" w:color="auto" w:fill="BEBEBE" w:themeFill="background1" w:themeFillShade="BF"/>
            <w:vAlign w:val="center"/>
          </w:tcPr>
          <w:p w14:paraId="420ECE0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参考</w:t>
            </w:r>
          </w:p>
          <w:p w14:paraId="4082B693">
            <w:pPr>
              <w:adjustRightInd w:val="0"/>
              <w:spacing w:line="360" w:lineRule="exact"/>
              <w:jc w:val="center"/>
              <w:rPr>
                <w:rFonts w:asciiTheme="minorEastAsia" w:hAnsiTheme="minorEastAsia" w:cstheme="minorEastAsia"/>
                <w:b/>
              </w:rPr>
            </w:pPr>
            <w:r>
              <w:rPr>
                <w:rFonts w:hint="eastAsia" w:asciiTheme="minorEastAsia" w:hAnsiTheme="minorEastAsia" w:cstheme="minorEastAsia"/>
                <w:b/>
              </w:rPr>
              <w:t>课时</w:t>
            </w:r>
          </w:p>
        </w:tc>
      </w:tr>
      <w:tr w14:paraId="215DC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1352AF2">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1</w:t>
            </w:r>
          </w:p>
        </w:tc>
        <w:tc>
          <w:tcPr>
            <w:tcW w:w="1089" w:type="dxa"/>
            <w:vAlign w:val="center"/>
          </w:tcPr>
          <w:p w14:paraId="783642E3">
            <w:pPr>
              <w:adjustRightInd w:val="0"/>
              <w:jc w:val="center"/>
            </w:pPr>
            <w:r>
              <w:rPr>
                <w:rFonts w:hint="eastAsia" w:ascii="仿宋_GB2312"/>
              </w:rPr>
              <w:t>RPA财务机器人基础理论</w:t>
            </w:r>
          </w:p>
        </w:tc>
        <w:tc>
          <w:tcPr>
            <w:tcW w:w="2880" w:type="dxa"/>
            <w:vAlign w:val="center"/>
          </w:tcPr>
          <w:p w14:paraId="5934BAD0">
            <w:pPr>
              <w:adjustRightInd w:val="0"/>
              <w:rPr>
                <w:rFonts w:ascii="仿宋_GB2312"/>
              </w:rPr>
            </w:pPr>
            <w:r>
              <w:rPr>
                <w:rFonts w:hint="eastAsia" w:ascii="仿宋_GB2312"/>
              </w:rPr>
              <w:t>1.了解财务机器人的概念与内涵、应用架构与技术、软件平台组成与运行机制</w:t>
            </w:r>
          </w:p>
          <w:p w14:paraId="475E3F8C">
            <w:pPr>
              <w:pStyle w:val="2"/>
              <w:ind w:firstLine="0" w:firstLineChars="0"/>
              <w:rPr>
                <w:rFonts w:ascii="宋体" w:hAnsi="宋体"/>
              </w:rPr>
            </w:pPr>
            <w:r>
              <w:rPr>
                <w:rFonts w:hint="eastAsia" w:ascii="仿宋_GB2312" w:hAnsi="宋体" w:eastAsiaTheme="minorEastAsia"/>
              </w:rPr>
              <w:t>2.了解财务机器人的需求规划、设计方案、费用采购、资金管理等等。</w:t>
            </w:r>
          </w:p>
        </w:tc>
        <w:tc>
          <w:tcPr>
            <w:tcW w:w="2682" w:type="dxa"/>
            <w:vAlign w:val="center"/>
          </w:tcPr>
          <w:p w14:paraId="6A30B4EE">
            <w:pPr>
              <w:adjustRightInd w:val="0"/>
              <w:rPr>
                <w:rFonts w:ascii="仿宋_GB2312"/>
              </w:rPr>
            </w:pPr>
            <w:r>
              <w:rPr>
                <w:rFonts w:hint="eastAsia" w:ascii="仿宋_GB2312"/>
              </w:rPr>
              <w:t>1.多媒体演示，了解财务机器人的基础知识；</w:t>
            </w:r>
          </w:p>
          <w:p w14:paraId="43193347">
            <w:pPr>
              <w:adjustRightInd w:val="0"/>
              <w:rPr>
                <w:rFonts w:ascii="仿宋_GB2312"/>
              </w:rPr>
            </w:pPr>
            <w:r>
              <w:rPr>
                <w:rFonts w:hint="eastAsia" w:ascii="仿宋_GB2312"/>
              </w:rPr>
              <w:t>2.通过实物或图片和案例展示，更加深刻的了解财务机器人的应用及流程。</w:t>
            </w:r>
          </w:p>
          <w:p w14:paraId="1A84F09E">
            <w:pPr>
              <w:pStyle w:val="2"/>
              <w:ind w:firstLine="0" w:firstLineChars="0"/>
              <w:rPr>
                <w:rFonts w:ascii="宋体" w:hAnsi="宋体"/>
              </w:rPr>
            </w:pPr>
            <w:r>
              <w:rPr>
                <w:rFonts w:hint="eastAsia" w:asciiTheme="majorEastAsia" w:hAnsiTheme="majorEastAsia" w:eastAsiaTheme="majorEastAsia"/>
              </w:rPr>
              <w:t>3</w:t>
            </w:r>
            <w:r>
              <w:rPr>
                <w:rFonts w:asciiTheme="majorEastAsia" w:hAnsiTheme="majorEastAsia" w:eastAsiaTheme="majorEastAsia"/>
              </w:rPr>
              <w:t>.</w:t>
            </w:r>
            <w:r>
              <w:rPr>
                <w:rFonts w:hint="eastAsia" w:asciiTheme="majorEastAsia" w:hAnsiTheme="majorEastAsia" w:eastAsiaTheme="majorEastAsia"/>
              </w:rPr>
              <w:t>让学生主动参与管理，提高技能。</w:t>
            </w:r>
          </w:p>
        </w:tc>
        <w:tc>
          <w:tcPr>
            <w:tcW w:w="724" w:type="dxa"/>
            <w:vAlign w:val="center"/>
          </w:tcPr>
          <w:p w14:paraId="56F711D1">
            <w:pPr>
              <w:adjustRightInd w:val="0"/>
              <w:jc w:val="center"/>
            </w:pPr>
            <w:r>
              <w:rPr>
                <w:rFonts w:hint="eastAsia" w:ascii="仿宋_GB2312"/>
              </w:rPr>
              <w:t>12</w:t>
            </w:r>
          </w:p>
        </w:tc>
      </w:tr>
      <w:tr w14:paraId="2DD67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21D3F4E3">
            <w:pPr>
              <w:adjustRightInd w:val="0"/>
              <w:spacing w:line="360" w:lineRule="exact"/>
              <w:jc w:val="center"/>
              <w:rPr>
                <w:rFonts w:asciiTheme="minorEastAsia" w:hAnsiTheme="minorEastAsia" w:cstheme="minorEastAsia"/>
              </w:rPr>
            </w:pPr>
            <w:r>
              <w:rPr>
                <w:rFonts w:hint="eastAsia" w:asciiTheme="minorEastAsia" w:hAnsiTheme="minorEastAsia" w:cstheme="minorEastAsia"/>
                <w:color w:val="000000"/>
              </w:rPr>
              <w:t>2</w:t>
            </w:r>
          </w:p>
        </w:tc>
        <w:tc>
          <w:tcPr>
            <w:tcW w:w="1089" w:type="dxa"/>
            <w:vAlign w:val="center"/>
          </w:tcPr>
          <w:p w14:paraId="64A8D937">
            <w:pPr>
              <w:adjustRightInd w:val="0"/>
              <w:jc w:val="center"/>
            </w:pPr>
            <w:r>
              <w:rPr>
                <w:rFonts w:hint="eastAsia" w:ascii="仿宋_GB2312"/>
              </w:rPr>
              <w:t>沙盘模拟实验</w:t>
            </w:r>
          </w:p>
        </w:tc>
        <w:tc>
          <w:tcPr>
            <w:tcW w:w="2880" w:type="dxa"/>
            <w:vAlign w:val="center"/>
          </w:tcPr>
          <w:p w14:paraId="3C0D5F38">
            <w:pPr>
              <w:adjustRightInd w:val="0"/>
              <w:rPr>
                <w:rFonts w:ascii="仿宋_GB2312"/>
              </w:rPr>
            </w:pPr>
            <w:r>
              <w:rPr>
                <w:rFonts w:hint="eastAsia" w:ascii="仿宋_GB2312"/>
              </w:rPr>
              <w:t>1.了解财务机器人业务流程及其痛点</w:t>
            </w:r>
          </w:p>
          <w:p w14:paraId="4CA8835B">
            <w:pPr>
              <w:adjustRightInd w:val="0"/>
              <w:rPr>
                <w:rFonts w:ascii="仿宋_GB2312"/>
              </w:rPr>
            </w:pPr>
            <w:r>
              <w:rPr>
                <w:rFonts w:hint="eastAsia" w:ascii="仿宋_GB2312"/>
              </w:rPr>
              <w:t>2.掌握机器人流程配置活动块进行开发</w:t>
            </w:r>
          </w:p>
          <w:p w14:paraId="66E6E6AE">
            <w:pPr>
              <w:adjustRightInd w:val="0"/>
            </w:pPr>
            <w:r>
              <w:rPr>
                <w:rFonts w:hint="eastAsia" w:ascii="仿宋_GB2312"/>
              </w:rPr>
              <w:t>3.开发过程中规范并确定数据标准</w:t>
            </w:r>
          </w:p>
        </w:tc>
        <w:tc>
          <w:tcPr>
            <w:tcW w:w="2682" w:type="dxa"/>
            <w:vAlign w:val="center"/>
          </w:tcPr>
          <w:p w14:paraId="40E11C0B">
            <w:pPr>
              <w:adjustRightInd w:val="0"/>
              <w:rPr>
                <w:rFonts w:ascii="仿宋_GB2312"/>
              </w:rPr>
            </w:pPr>
            <w:r>
              <w:rPr>
                <w:rFonts w:hint="eastAsia" w:ascii="仿宋_GB2312"/>
              </w:rPr>
              <w:t>1.了解财务机器人的业务流程及痛点；</w:t>
            </w:r>
          </w:p>
          <w:p w14:paraId="7A5C4CF8">
            <w:pPr>
              <w:adjustRightInd w:val="0"/>
              <w:rPr>
                <w:rFonts w:ascii="仿宋_GB2312"/>
              </w:rPr>
            </w:pPr>
            <w:r>
              <w:rPr>
                <w:rFonts w:hint="eastAsia" w:ascii="仿宋_GB2312"/>
              </w:rPr>
              <w:t>2.理解机器人流程配置及开发模块。</w:t>
            </w:r>
          </w:p>
          <w:p w14:paraId="1C37C276">
            <w:pPr>
              <w:adjustRightInd w:val="0"/>
            </w:pPr>
            <w:r>
              <w:rPr>
                <w:rFonts w:hint="eastAsia" w:ascii="仿宋_GB2312"/>
              </w:rPr>
              <w:t>3</w:t>
            </w:r>
            <w:r>
              <w:rPr>
                <w:rFonts w:ascii="仿宋_GB2312"/>
              </w:rPr>
              <w:t>.</w:t>
            </w:r>
            <w:r>
              <w:rPr>
                <w:rFonts w:hint="eastAsia" w:ascii="仿宋_GB2312"/>
              </w:rPr>
              <w:t>提高学生对技术的应用，发展职业个人规划。</w:t>
            </w:r>
          </w:p>
        </w:tc>
        <w:tc>
          <w:tcPr>
            <w:tcW w:w="724" w:type="dxa"/>
            <w:vAlign w:val="center"/>
          </w:tcPr>
          <w:p w14:paraId="3AFC52E2">
            <w:pPr>
              <w:adjustRightInd w:val="0"/>
              <w:jc w:val="center"/>
            </w:pPr>
            <w:r>
              <w:rPr>
                <w:rFonts w:hint="eastAsia" w:ascii="仿宋_GB2312"/>
              </w:rPr>
              <w:t>6</w:t>
            </w:r>
          </w:p>
        </w:tc>
      </w:tr>
      <w:tr w14:paraId="6746E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DFFB4F4">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3</w:t>
            </w:r>
          </w:p>
        </w:tc>
        <w:tc>
          <w:tcPr>
            <w:tcW w:w="1089" w:type="dxa"/>
            <w:vAlign w:val="center"/>
          </w:tcPr>
          <w:p w14:paraId="423D4EF1">
            <w:pPr>
              <w:adjustRightInd w:val="0"/>
              <w:jc w:val="center"/>
            </w:pPr>
            <w:r>
              <w:rPr>
                <w:rFonts w:hint="eastAsia" w:ascii="仿宋_GB2312"/>
              </w:rPr>
              <w:t>沙盘模拟实验分析</w:t>
            </w:r>
          </w:p>
        </w:tc>
        <w:tc>
          <w:tcPr>
            <w:tcW w:w="2880" w:type="dxa"/>
            <w:vAlign w:val="center"/>
          </w:tcPr>
          <w:p w14:paraId="65179042">
            <w:pPr>
              <w:adjustRightInd w:val="0"/>
              <w:rPr>
                <w:rFonts w:ascii="仿宋_GB2312"/>
              </w:rPr>
            </w:pPr>
            <w:r>
              <w:rPr>
                <w:rFonts w:hint="eastAsia" w:ascii="仿宋_GB2312"/>
              </w:rPr>
              <w:t>1.了解机器人开发完成后需要的部署；</w:t>
            </w:r>
          </w:p>
          <w:p w14:paraId="63E0070D">
            <w:pPr>
              <w:adjustRightInd w:val="0"/>
            </w:pPr>
            <w:r>
              <w:rPr>
                <w:rFonts w:hint="eastAsia" w:ascii="仿宋_GB2312"/>
              </w:rPr>
              <w:t>2.掌握分析机器人的价值与风险。</w:t>
            </w:r>
          </w:p>
        </w:tc>
        <w:tc>
          <w:tcPr>
            <w:tcW w:w="2682" w:type="dxa"/>
            <w:vAlign w:val="center"/>
          </w:tcPr>
          <w:p w14:paraId="323B237A">
            <w:pPr>
              <w:adjustRightInd w:val="0"/>
              <w:rPr>
                <w:rFonts w:ascii="仿宋_GB2312"/>
              </w:rPr>
            </w:pPr>
            <w:r>
              <w:rPr>
                <w:rFonts w:hint="eastAsia" w:ascii="仿宋_GB2312"/>
              </w:rPr>
              <w:t>1.了解财务机器人开发部署所需准备；</w:t>
            </w:r>
          </w:p>
          <w:p w14:paraId="6BEA51CA">
            <w:pPr>
              <w:adjustRightInd w:val="0"/>
              <w:rPr>
                <w:rFonts w:ascii="仿宋_GB2312"/>
              </w:rPr>
            </w:pPr>
            <w:r>
              <w:rPr>
                <w:rFonts w:hint="eastAsia" w:ascii="仿宋_GB2312"/>
              </w:rPr>
              <w:t>2.了解机器人的价值与风险。</w:t>
            </w:r>
          </w:p>
          <w:p w14:paraId="7906C061">
            <w:pPr>
              <w:pStyle w:val="2"/>
              <w:rPr>
                <w:rFonts w:ascii="宋体" w:hAnsi="宋体"/>
              </w:rPr>
            </w:pPr>
            <w:r>
              <w:rPr>
                <w:rFonts w:hint="eastAsia" w:asciiTheme="majorEastAsia" w:hAnsiTheme="majorEastAsia" w:eastAsiaTheme="majorEastAsia"/>
              </w:rPr>
              <w:t>3</w:t>
            </w:r>
            <w:r>
              <w:rPr>
                <w:rFonts w:asciiTheme="majorEastAsia" w:hAnsiTheme="majorEastAsia" w:eastAsiaTheme="majorEastAsia"/>
              </w:rPr>
              <w:t>.</w:t>
            </w:r>
            <w:r>
              <w:rPr>
                <w:rFonts w:hint="eastAsia" w:asciiTheme="majorEastAsia" w:hAnsiTheme="majorEastAsia" w:eastAsiaTheme="majorEastAsia"/>
              </w:rPr>
              <w:t>培养学生的战略部署能力。</w:t>
            </w:r>
          </w:p>
        </w:tc>
        <w:tc>
          <w:tcPr>
            <w:tcW w:w="724" w:type="dxa"/>
            <w:vAlign w:val="center"/>
          </w:tcPr>
          <w:p w14:paraId="709AC362">
            <w:pPr>
              <w:adjustRightInd w:val="0"/>
              <w:jc w:val="center"/>
            </w:pPr>
            <w:r>
              <w:rPr>
                <w:rFonts w:hint="eastAsia" w:ascii="仿宋_GB2312"/>
              </w:rPr>
              <w:t>6</w:t>
            </w:r>
          </w:p>
        </w:tc>
      </w:tr>
      <w:tr w14:paraId="036B8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137D2580">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4</w:t>
            </w:r>
          </w:p>
        </w:tc>
        <w:tc>
          <w:tcPr>
            <w:tcW w:w="1089" w:type="dxa"/>
            <w:vAlign w:val="center"/>
          </w:tcPr>
          <w:p w14:paraId="7BF9D206">
            <w:pPr>
              <w:adjustRightInd w:val="0"/>
              <w:jc w:val="center"/>
            </w:pPr>
            <w:r>
              <w:rPr>
                <w:rFonts w:hint="eastAsia" w:ascii="仿宋_GB2312"/>
              </w:rPr>
              <w:t>RPA财务机器人软件开发</w:t>
            </w:r>
          </w:p>
        </w:tc>
        <w:tc>
          <w:tcPr>
            <w:tcW w:w="2880" w:type="dxa"/>
            <w:vAlign w:val="center"/>
          </w:tcPr>
          <w:p w14:paraId="4A9BD245">
            <w:pPr>
              <w:adjustRightInd w:val="0"/>
            </w:pPr>
            <w:r>
              <w:rPr>
                <w:rFonts w:hint="eastAsia" w:ascii="仿宋_GB2312"/>
              </w:rPr>
              <w:t>了解智能费用报销机器人；银行对账机器人、盈利能力分析机器人。</w:t>
            </w:r>
          </w:p>
        </w:tc>
        <w:tc>
          <w:tcPr>
            <w:tcW w:w="2682" w:type="dxa"/>
            <w:vAlign w:val="center"/>
          </w:tcPr>
          <w:p w14:paraId="37F9EE4D">
            <w:pPr>
              <w:adjustRightInd w:val="0"/>
              <w:rPr>
                <w:rFonts w:ascii="仿宋_GB2312"/>
              </w:rPr>
            </w:pPr>
            <w:r>
              <w:rPr>
                <w:rFonts w:hint="eastAsia" w:ascii="仿宋_GB2312"/>
              </w:rPr>
              <w:t>1</w:t>
            </w:r>
            <w:r>
              <w:rPr>
                <w:rFonts w:ascii="仿宋_GB2312"/>
              </w:rPr>
              <w:t>.</w:t>
            </w:r>
            <w:r>
              <w:rPr>
                <w:rFonts w:hint="eastAsia" w:ascii="仿宋_GB2312"/>
              </w:rPr>
              <w:t>了解三款机器人的特点与应用；</w:t>
            </w:r>
          </w:p>
          <w:p w14:paraId="754DB28B">
            <w:pPr>
              <w:pStyle w:val="2"/>
              <w:rPr>
                <w:rFonts w:ascii="宋体" w:hAnsi="宋体"/>
              </w:rPr>
            </w:pPr>
            <w:r>
              <w:rPr>
                <w:rFonts w:hint="eastAsia" w:asciiTheme="majorEastAsia" w:hAnsiTheme="majorEastAsia" w:eastAsiaTheme="majorEastAsia"/>
              </w:rPr>
              <w:t>2</w:t>
            </w:r>
            <w:r>
              <w:rPr>
                <w:rFonts w:asciiTheme="majorEastAsia" w:hAnsiTheme="majorEastAsia" w:eastAsiaTheme="majorEastAsia"/>
              </w:rPr>
              <w:t>.</w:t>
            </w:r>
            <w:r>
              <w:rPr>
                <w:rFonts w:hint="eastAsia" w:asciiTheme="majorEastAsia" w:hAnsiTheme="majorEastAsia" w:eastAsiaTheme="majorEastAsia"/>
              </w:rPr>
              <w:t>强化学生技能意识，培养严谨态度。</w:t>
            </w:r>
          </w:p>
        </w:tc>
        <w:tc>
          <w:tcPr>
            <w:tcW w:w="724" w:type="dxa"/>
            <w:vAlign w:val="center"/>
          </w:tcPr>
          <w:p w14:paraId="260B2B1A">
            <w:pPr>
              <w:adjustRightInd w:val="0"/>
              <w:jc w:val="center"/>
            </w:pPr>
            <w:r>
              <w:rPr>
                <w:rFonts w:hint="eastAsia" w:ascii="仿宋_GB2312"/>
              </w:rPr>
              <w:t>8</w:t>
            </w:r>
          </w:p>
        </w:tc>
      </w:tr>
      <w:tr w14:paraId="7EA8C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 w:type="dxa"/>
            <w:vAlign w:val="center"/>
          </w:tcPr>
          <w:p w14:paraId="3048F4A5">
            <w:pPr>
              <w:adjustRightInd w:val="0"/>
              <w:spacing w:line="360" w:lineRule="exact"/>
              <w:jc w:val="center"/>
              <w:rPr>
                <w:rFonts w:asciiTheme="minorEastAsia" w:hAnsiTheme="minorEastAsia" w:cstheme="minorEastAsia"/>
              </w:rPr>
            </w:pPr>
            <w:r>
              <w:rPr>
                <w:rFonts w:hint="eastAsia" w:asciiTheme="minorEastAsia" w:hAnsiTheme="minorEastAsia" w:cstheme="minorEastAsia"/>
              </w:rPr>
              <w:t>5</w:t>
            </w:r>
          </w:p>
        </w:tc>
        <w:tc>
          <w:tcPr>
            <w:tcW w:w="1089" w:type="dxa"/>
            <w:vAlign w:val="center"/>
          </w:tcPr>
          <w:p w14:paraId="3850BE6A">
            <w:pPr>
              <w:adjustRightInd w:val="0"/>
              <w:jc w:val="center"/>
            </w:pPr>
            <w:r>
              <w:rPr>
                <w:rFonts w:hint="eastAsia" w:ascii="仿宋_GB2312"/>
              </w:rPr>
              <w:t>开发模拟训练</w:t>
            </w:r>
          </w:p>
        </w:tc>
        <w:tc>
          <w:tcPr>
            <w:tcW w:w="2880" w:type="dxa"/>
            <w:vAlign w:val="center"/>
          </w:tcPr>
          <w:p w14:paraId="21F47232">
            <w:pPr>
              <w:adjustRightInd w:val="0"/>
            </w:pPr>
            <w:r>
              <w:rPr>
                <w:rFonts w:hint="eastAsia" w:ascii="仿宋_GB2312"/>
              </w:rPr>
              <w:t>了解RPA财务机器人中心建设及运营过程的典型应用。</w:t>
            </w:r>
          </w:p>
        </w:tc>
        <w:tc>
          <w:tcPr>
            <w:tcW w:w="2682" w:type="dxa"/>
            <w:vAlign w:val="center"/>
          </w:tcPr>
          <w:p w14:paraId="788A6BEF">
            <w:pPr>
              <w:adjustRightInd w:val="0"/>
            </w:pPr>
            <w:r>
              <w:rPr>
                <w:rFonts w:hint="eastAsia" w:ascii="仿宋_GB2312"/>
              </w:rPr>
              <w:t>了解财务机器人的运营过程，培养学生的全局意识</w:t>
            </w:r>
          </w:p>
        </w:tc>
        <w:tc>
          <w:tcPr>
            <w:tcW w:w="724" w:type="dxa"/>
            <w:vAlign w:val="center"/>
          </w:tcPr>
          <w:p w14:paraId="707308CA">
            <w:pPr>
              <w:adjustRightInd w:val="0"/>
              <w:jc w:val="center"/>
            </w:pPr>
            <w:r>
              <w:rPr>
                <w:rFonts w:hint="eastAsia" w:ascii="仿宋_GB2312"/>
              </w:rPr>
              <w:t>4</w:t>
            </w:r>
          </w:p>
        </w:tc>
      </w:tr>
    </w:tbl>
    <w:p w14:paraId="490594D1">
      <w:pPr>
        <w:pStyle w:val="17"/>
        <w:spacing w:after="0" w:line="400" w:lineRule="exact"/>
        <w:ind w:firstLine="480" w:firstLineChars="200"/>
        <w:rPr>
          <w:rFonts w:hint="eastAsia" w:ascii="楷体_GB2312" w:eastAsia="楷体_GB2312"/>
          <w:sz w:val="24"/>
          <w:szCs w:val="24"/>
        </w:rPr>
      </w:pPr>
      <w:r>
        <w:rPr>
          <w:rFonts w:hint="eastAsia" w:ascii="楷体_GB2312" w:eastAsia="楷体_GB2312"/>
          <w:sz w:val="24"/>
          <w:szCs w:val="24"/>
        </w:rPr>
        <w:t>（六）实施建议</w:t>
      </w:r>
    </w:p>
    <w:p w14:paraId="59DAF7E5">
      <w:pPr>
        <w:pStyle w:val="17"/>
        <w:spacing w:after="0" w:line="400" w:lineRule="exact"/>
        <w:ind w:firstLine="480" w:firstLineChars="200"/>
        <w:rPr>
          <w:sz w:val="24"/>
          <w:szCs w:val="24"/>
        </w:rPr>
      </w:pPr>
      <w:r>
        <w:rPr>
          <w:rFonts w:hint="eastAsia"/>
          <w:sz w:val="24"/>
          <w:szCs w:val="24"/>
        </w:rPr>
        <w:t>1.教学方法</w:t>
      </w:r>
    </w:p>
    <w:p w14:paraId="42467291">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将思政融入教学，本课程主要采用理论教学法、故事教学法、游戏教学法、情景模拟法等教学方式。</w:t>
      </w:r>
    </w:p>
    <w:p w14:paraId="725EB5AE">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（1）理论教学法: 以教师讲授为主的课堂教学方法，在课堂教学中引入案例教学、案例讨论等教学方法，启发学生思考，培养学生发现问题、分析问题的能力。</w:t>
      </w:r>
    </w:p>
    <w:p w14:paraId="10D890EF">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（2）故事教学法,即在教学过程中，通过故事教学来完成税务教学和教学目标的一种教学方法。它是一种具体的教学方法，具有一定的现实可行性。</w:t>
      </w:r>
    </w:p>
    <w:p w14:paraId="5E0BA555">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（3）游戏教学法,即以游戏的形式教学，也就是说使学生在生动活泼的气氛中，在欢乐愉快的活动中，在激烈的竞赛任务中，学到了教材中的内容，或者学到了学生们必须掌握的课外知识。</w:t>
      </w:r>
    </w:p>
    <w:p w14:paraId="6806817B">
      <w:pPr>
        <w:spacing w:line="400" w:lineRule="exact"/>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（4）情景模拟法，即教师通过精心设置特定的情景，以达到特定的教学目的的一种教学方式。</w:t>
      </w:r>
    </w:p>
    <w:p w14:paraId="1BED0E88">
      <w:pPr>
        <w:pStyle w:val="17"/>
        <w:spacing w:after="0" w:line="400" w:lineRule="exact"/>
        <w:ind w:firstLine="480" w:firstLineChars="200"/>
        <w:rPr>
          <w:sz w:val="24"/>
          <w:szCs w:val="24"/>
        </w:rPr>
      </w:pPr>
      <w:r>
        <w:rPr>
          <w:rFonts w:hint="eastAsia"/>
          <w:sz w:val="24"/>
          <w:szCs w:val="24"/>
        </w:rPr>
        <w:t>2.评价方法</w:t>
      </w:r>
    </w:p>
    <w:p w14:paraId="5644D98E">
      <w:pPr>
        <w:pStyle w:val="17"/>
        <w:spacing w:after="0" w:line="400" w:lineRule="exact"/>
        <w:ind w:firstLine="480" w:firstLineChars="200"/>
        <w:rPr>
          <w:bCs/>
          <w:sz w:val="24"/>
          <w:szCs w:val="24"/>
        </w:rPr>
      </w:pPr>
      <w:r>
        <w:rPr>
          <w:rFonts w:hint="eastAsia"/>
          <w:bCs/>
          <w:sz w:val="24"/>
          <w:szCs w:val="24"/>
        </w:rPr>
        <w:t xml:space="preserve">本课程教学过程以学生为主体，考核方式重在考查学生在平时课堂学习过程中表现出来的主观能动性和对知识的理解能力，以及运用知识解决实际问题的能力。期末考核采取闭卷考试的方法，考核内容为本课程标准规定的内容。加大平时考核的力度，避免学生期末考试前的突击复习。考查的形式包括：考勤、上课表现、讨论、课堂作业、课后作业等。 </w:t>
      </w:r>
    </w:p>
    <w:p w14:paraId="6A0F197D">
      <w:pPr>
        <w:pStyle w:val="17"/>
        <w:spacing w:after="0" w:line="400" w:lineRule="exact"/>
        <w:ind w:firstLine="480" w:firstLineChars="200"/>
        <w:rPr>
          <w:bCs/>
          <w:sz w:val="24"/>
          <w:szCs w:val="24"/>
        </w:rPr>
      </w:pPr>
      <w:r>
        <w:rPr>
          <w:rFonts w:hint="eastAsia"/>
          <w:bCs/>
          <w:sz w:val="24"/>
          <w:szCs w:val="24"/>
        </w:rPr>
        <w:t>课程成绩形成方式建议: 总评成绩= 平时成绩*30%+期中成绩*30%+期末成*40%。</w:t>
      </w:r>
    </w:p>
    <w:p w14:paraId="644BF401">
      <w:pPr>
        <w:pStyle w:val="17"/>
        <w:spacing w:after="0" w:line="400" w:lineRule="exact"/>
        <w:ind w:firstLine="480" w:firstLineChars="200"/>
        <w:rPr>
          <w:sz w:val="24"/>
          <w:szCs w:val="24"/>
        </w:rPr>
      </w:pPr>
      <w:r>
        <w:rPr>
          <w:rFonts w:hint="eastAsia"/>
          <w:sz w:val="24"/>
          <w:szCs w:val="24"/>
        </w:rPr>
        <w:t>3.教学条件</w:t>
      </w:r>
    </w:p>
    <w:p w14:paraId="559A1A79">
      <w:pPr>
        <w:pStyle w:val="17"/>
        <w:spacing w:after="0" w:line="400" w:lineRule="exact"/>
        <w:ind w:firstLine="480" w:firstLineChars="200"/>
        <w:rPr>
          <w:bCs/>
          <w:sz w:val="24"/>
          <w:szCs w:val="24"/>
        </w:rPr>
      </w:pPr>
      <w:r>
        <w:rPr>
          <w:rFonts w:hint="eastAsia" w:ascii="仿宋_GB2312"/>
          <w:sz w:val="24"/>
          <w:szCs w:val="24"/>
        </w:rPr>
        <w:t>本课程也需要满足必要的教学条件。校内建有一支结构合理、素质优良、具有良好职业修养的“双师素质”教师队伍，校外有一批既具有丰富的财税实际工作经验，又具有一定理论基础的财税专家参与学习领域课程标准的制定。同时</w:t>
      </w:r>
      <w:r>
        <w:rPr>
          <w:rFonts w:hint="eastAsia"/>
          <w:bCs/>
          <w:sz w:val="24"/>
          <w:szCs w:val="24"/>
        </w:rPr>
        <w:t>课程技能训练的校内实训基地需能够营造虚实结合、互动参与的实践训练情境，配置各类教学软件和多媒体设备，能访问互联网，能够开展实训项目。本课程编制的“电子教材”、“电子教案”、“复习与训练题”、“技能训练指导模块”、“教学大纲”、“授课计划”、“学习形式”、“考核方式”等内容能够上传网络，满足课堂教学和学生课外学习的需要。学生可通过网络进行远程学习，教师利用网络可对学生进行有针对性地指导。</w:t>
      </w:r>
    </w:p>
    <w:p w14:paraId="45DE0911">
      <w:pPr>
        <w:pStyle w:val="17"/>
        <w:spacing w:after="0" w:line="400" w:lineRule="exact"/>
        <w:ind w:firstLine="480" w:firstLineChars="200"/>
        <w:rPr>
          <w:bCs/>
          <w:sz w:val="24"/>
          <w:szCs w:val="24"/>
        </w:rPr>
      </w:pPr>
      <w:r>
        <w:rPr>
          <w:rFonts w:hint="eastAsia"/>
          <w:bCs/>
          <w:sz w:val="24"/>
          <w:szCs w:val="24"/>
        </w:rPr>
        <w:t>4.教材编选</w:t>
      </w:r>
    </w:p>
    <w:p w14:paraId="22424C25">
      <w:pPr>
        <w:pStyle w:val="17"/>
        <w:spacing w:after="0" w:line="400" w:lineRule="exact"/>
        <w:ind w:firstLine="480" w:firstLineChars="200"/>
        <w:rPr>
          <w:bCs/>
          <w:sz w:val="24"/>
          <w:szCs w:val="24"/>
        </w:rPr>
      </w:pPr>
      <w:r>
        <w:rPr>
          <w:rFonts w:hint="eastAsia"/>
          <w:bCs/>
          <w:sz w:val="24"/>
          <w:szCs w:val="24"/>
        </w:rPr>
        <w:t>依据本课程标准编写教材，安排合理的必修和选修内容，教材内容应体现以就业为导向，以学生为本的原则，将知识与生活生产实际应用相结合。</w:t>
      </w:r>
    </w:p>
    <w:p w14:paraId="111AEBA6">
      <w:pPr>
        <w:pStyle w:val="17"/>
        <w:spacing w:after="0" w:line="400" w:lineRule="exact"/>
        <w:ind w:firstLine="480" w:firstLineChars="200"/>
        <w:rPr>
          <w:bCs/>
          <w:sz w:val="24"/>
          <w:szCs w:val="24"/>
        </w:rPr>
      </w:pPr>
      <w:r>
        <w:rPr>
          <w:rFonts w:hint="eastAsia"/>
          <w:bCs/>
          <w:sz w:val="24"/>
          <w:szCs w:val="24"/>
        </w:rPr>
        <w:t>教材的教学内容能够很好地反映涉税业务办理的新颖性、科学性和实用性。注重教学改革成果。教材充分运用现代教育技术、方法与手段，依托工学结合、校企合作的平台和优势，构成有利于激发学生自主学习和刻苦钻研，有利于强化学生的实践能力和创新能力，有利于提高学生的专业素质和综合素质的精品课程体系。</w:t>
      </w:r>
    </w:p>
    <w:p w14:paraId="6624F7F0">
      <w:pPr>
        <w:pStyle w:val="17"/>
        <w:spacing w:after="0" w:line="400" w:lineRule="exact"/>
        <w:ind w:firstLine="480" w:firstLineChars="200"/>
        <w:rPr>
          <w:bCs/>
          <w:sz w:val="24"/>
          <w:szCs w:val="24"/>
        </w:rPr>
      </w:pPr>
    </w:p>
    <w:p w14:paraId="2D8155BD">
      <w:pPr>
        <w:pStyle w:val="17"/>
        <w:spacing w:after="0" w:line="400" w:lineRule="exact"/>
        <w:ind w:firstLine="480" w:firstLineChars="200"/>
        <w:rPr>
          <w:bCs/>
          <w:sz w:val="24"/>
          <w:szCs w:val="24"/>
        </w:rPr>
      </w:pPr>
    </w:p>
    <w:p w14:paraId="4F7DD8B3">
      <w:pPr>
        <w:pStyle w:val="17"/>
        <w:spacing w:after="0" w:line="400" w:lineRule="exact"/>
        <w:ind w:firstLine="480" w:firstLineChars="200"/>
        <w:rPr>
          <w:bCs/>
          <w:sz w:val="24"/>
          <w:szCs w:val="24"/>
        </w:rPr>
      </w:pPr>
    </w:p>
    <w:p w14:paraId="29BE46CC">
      <w:pPr>
        <w:pStyle w:val="17"/>
        <w:spacing w:after="0" w:line="400" w:lineRule="exact"/>
        <w:ind w:firstLine="480" w:firstLineChars="200"/>
        <w:rPr>
          <w:bCs/>
          <w:sz w:val="24"/>
          <w:szCs w:val="24"/>
        </w:rPr>
      </w:pPr>
    </w:p>
    <w:p w14:paraId="7602F867">
      <w:pPr>
        <w:pStyle w:val="17"/>
        <w:spacing w:after="0" w:line="400" w:lineRule="exact"/>
        <w:ind w:firstLine="480" w:firstLineChars="200"/>
        <w:rPr>
          <w:bCs/>
          <w:sz w:val="24"/>
          <w:szCs w:val="24"/>
        </w:rPr>
      </w:pPr>
    </w:p>
    <w:p w14:paraId="5BB6D7CE">
      <w:pPr>
        <w:pStyle w:val="17"/>
        <w:spacing w:line="360" w:lineRule="auto"/>
        <w:jc w:val="center"/>
        <w:rPr>
          <w:rFonts w:ascii="黑体" w:hAnsi="黑体" w:eastAsia="黑体"/>
          <w:sz w:val="24"/>
          <w:szCs w:val="24"/>
        </w:rPr>
      </w:pPr>
      <w:r>
        <w:rPr>
          <w:rFonts w:hint="eastAsia" w:ascii="黑体" w:hAnsi="黑体" w:eastAsia="黑体"/>
          <w:sz w:val="24"/>
          <w:szCs w:val="24"/>
        </w:rPr>
        <w:t>授课进程建议表</w:t>
      </w:r>
    </w:p>
    <w:tbl>
      <w:tblPr>
        <w:tblStyle w:val="177"/>
        <w:tblW w:w="85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3079"/>
        <w:gridCol w:w="1980"/>
        <w:gridCol w:w="2182"/>
      </w:tblGrid>
      <w:tr w14:paraId="3D496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blHeader/>
          <w:jc w:val="center"/>
        </w:trPr>
        <w:tc>
          <w:tcPr>
            <w:tcW w:w="1261" w:type="dxa"/>
            <w:shd w:val="clear" w:color="auto" w:fill="BEBEBE" w:themeFill="background1" w:themeFillShade="BF"/>
            <w:tcMar>
              <w:top w:w="0" w:type="dxa"/>
              <w:left w:w="108" w:type="dxa"/>
              <w:bottom w:w="0" w:type="dxa"/>
              <w:right w:w="108" w:type="dxa"/>
            </w:tcMar>
            <w:vAlign w:val="center"/>
          </w:tcPr>
          <w:p w14:paraId="7B4575D8">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4"/>
                <w:lang w:eastAsia="en-US"/>
              </w:rPr>
              <w:t>周次</w:t>
            </w:r>
          </w:p>
        </w:tc>
        <w:tc>
          <w:tcPr>
            <w:tcW w:w="3079" w:type="dxa"/>
            <w:shd w:val="clear" w:color="auto" w:fill="BEBEBE" w:themeFill="background1" w:themeFillShade="BF"/>
            <w:tcMar>
              <w:top w:w="0" w:type="dxa"/>
              <w:left w:w="108" w:type="dxa"/>
              <w:bottom w:w="0" w:type="dxa"/>
              <w:right w:w="108" w:type="dxa"/>
            </w:tcMar>
            <w:vAlign w:val="center"/>
          </w:tcPr>
          <w:p w14:paraId="42246D21">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教学章节</w:t>
            </w:r>
          </w:p>
        </w:tc>
        <w:tc>
          <w:tcPr>
            <w:tcW w:w="1980" w:type="dxa"/>
            <w:shd w:val="clear" w:color="auto" w:fill="BEBEBE" w:themeFill="background1" w:themeFillShade="BF"/>
            <w:tcMar>
              <w:top w:w="0" w:type="dxa"/>
              <w:left w:w="108" w:type="dxa"/>
              <w:bottom w:w="0" w:type="dxa"/>
              <w:right w:w="108" w:type="dxa"/>
            </w:tcMar>
            <w:vAlign w:val="center"/>
          </w:tcPr>
          <w:p w14:paraId="7A649063">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授课时数（节）</w:t>
            </w:r>
          </w:p>
        </w:tc>
        <w:tc>
          <w:tcPr>
            <w:tcW w:w="2182" w:type="dxa"/>
            <w:shd w:val="clear" w:color="auto" w:fill="BEBEBE" w:themeFill="background1" w:themeFillShade="BF"/>
            <w:tcMar>
              <w:top w:w="0" w:type="dxa"/>
              <w:left w:w="108" w:type="dxa"/>
              <w:bottom w:w="0" w:type="dxa"/>
              <w:right w:w="108" w:type="dxa"/>
            </w:tcMar>
            <w:vAlign w:val="center"/>
          </w:tcPr>
          <w:p w14:paraId="445F092C">
            <w:pPr>
              <w:spacing w:line="360" w:lineRule="exact"/>
              <w:jc w:val="center"/>
              <w:rPr>
                <w:rFonts w:asciiTheme="minorEastAsia" w:hAnsiTheme="minorEastAsia" w:cstheme="minorEastAsia"/>
                <w:b/>
                <w:bCs/>
                <w:snapToGrid w:val="0"/>
                <w:color w:val="000000"/>
                <w:lang w:eastAsia="en-US"/>
              </w:rPr>
            </w:pPr>
            <w:r>
              <w:rPr>
                <w:rFonts w:hint="eastAsia" w:asciiTheme="minorEastAsia" w:hAnsiTheme="minorEastAsia" w:cstheme="minorEastAsia"/>
                <w:b/>
                <w:bCs/>
                <w:snapToGrid w:val="0"/>
                <w:color w:val="000000"/>
                <w:spacing w:val="7"/>
                <w:lang w:eastAsia="en-US"/>
              </w:rPr>
              <w:t>主要教学形式</w:t>
            </w:r>
          </w:p>
        </w:tc>
      </w:tr>
      <w:tr w14:paraId="07A6B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261" w:type="dxa"/>
            <w:tcMar>
              <w:top w:w="0" w:type="dxa"/>
              <w:left w:w="108" w:type="dxa"/>
              <w:bottom w:w="0" w:type="dxa"/>
              <w:right w:w="108" w:type="dxa"/>
            </w:tcMar>
            <w:vAlign w:val="center"/>
          </w:tcPr>
          <w:p w14:paraId="67E5A1FB">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1</w:t>
            </w:r>
          </w:p>
        </w:tc>
        <w:tc>
          <w:tcPr>
            <w:tcW w:w="3079" w:type="dxa"/>
            <w:tcMar>
              <w:top w:w="0" w:type="dxa"/>
              <w:left w:w="108" w:type="dxa"/>
              <w:bottom w:w="0" w:type="dxa"/>
              <w:right w:w="108" w:type="dxa"/>
            </w:tcMar>
            <w:vAlign w:val="center"/>
          </w:tcPr>
          <w:p w14:paraId="5467AA3B">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RPA财务机器人基础理论</w:t>
            </w:r>
          </w:p>
        </w:tc>
        <w:tc>
          <w:tcPr>
            <w:tcW w:w="1980" w:type="dxa"/>
            <w:tcMar>
              <w:top w:w="0" w:type="dxa"/>
              <w:left w:w="108" w:type="dxa"/>
              <w:bottom w:w="0" w:type="dxa"/>
              <w:right w:w="108" w:type="dxa"/>
            </w:tcMar>
            <w:vAlign w:val="center"/>
          </w:tcPr>
          <w:p w14:paraId="78D352E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12</w:t>
            </w:r>
          </w:p>
        </w:tc>
        <w:tc>
          <w:tcPr>
            <w:tcW w:w="2182" w:type="dxa"/>
            <w:tcMar>
              <w:top w:w="0" w:type="dxa"/>
              <w:left w:w="108" w:type="dxa"/>
              <w:bottom w:w="0" w:type="dxa"/>
              <w:right w:w="108" w:type="dxa"/>
            </w:tcMar>
            <w:vAlign w:val="center"/>
          </w:tcPr>
          <w:p w14:paraId="1EB923E6">
            <w:pPr>
              <w:pStyle w:val="178"/>
              <w:spacing w:line="360" w:lineRule="exact"/>
              <w:jc w:val="center"/>
              <w:rPr>
                <w:rFonts w:eastAsia="仿宋_GB2312" w:asciiTheme="minorEastAsia" w:hAnsiTheme="minorEastAsia" w:cstheme="minorEastAsia"/>
                <w:spacing w:val="7"/>
                <w:lang w:eastAsia="en-US"/>
              </w:rPr>
            </w:pPr>
            <w:r>
              <w:rPr>
                <w:rFonts w:hint="eastAsia" w:ascii="仿宋_GB2312" w:hAnsi="Times New Roman" w:eastAsia="仿宋_GB2312" w:cs="Times New Roman"/>
                <w:sz w:val="24"/>
                <w:szCs w:val="24"/>
                <w:lang w:eastAsia="en-US"/>
              </w:rPr>
              <w:t>理论教学法、情景模拟法</w:t>
            </w:r>
          </w:p>
        </w:tc>
      </w:tr>
      <w:tr w14:paraId="333BC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261" w:type="dxa"/>
            <w:tcMar>
              <w:top w:w="0" w:type="dxa"/>
              <w:left w:w="108" w:type="dxa"/>
              <w:bottom w:w="0" w:type="dxa"/>
              <w:right w:w="108" w:type="dxa"/>
            </w:tcMar>
            <w:vAlign w:val="center"/>
          </w:tcPr>
          <w:p w14:paraId="255ECB6B">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lang w:eastAsia="en-US"/>
              </w:rPr>
              <w:t>2</w:t>
            </w:r>
          </w:p>
        </w:tc>
        <w:tc>
          <w:tcPr>
            <w:tcW w:w="3079" w:type="dxa"/>
            <w:tcMar>
              <w:top w:w="0" w:type="dxa"/>
              <w:left w:w="108" w:type="dxa"/>
              <w:bottom w:w="0" w:type="dxa"/>
              <w:right w:w="108" w:type="dxa"/>
            </w:tcMar>
            <w:vAlign w:val="center"/>
          </w:tcPr>
          <w:p w14:paraId="11022F68">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沙盘模拟实验</w:t>
            </w:r>
          </w:p>
        </w:tc>
        <w:tc>
          <w:tcPr>
            <w:tcW w:w="1980" w:type="dxa"/>
            <w:tcMar>
              <w:top w:w="0" w:type="dxa"/>
              <w:left w:w="108" w:type="dxa"/>
              <w:bottom w:w="0" w:type="dxa"/>
              <w:right w:w="108" w:type="dxa"/>
            </w:tcMar>
            <w:vAlign w:val="center"/>
          </w:tcPr>
          <w:p w14:paraId="15941082">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37FFCFF1">
            <w:pPr>
              <w:pStyle w:val="178"/>
              <w:spacing w:line="360" w:lineRule="exact"/>
              <w:jc w:val="center"/>
              <w:rPr>
                <w:rFonts w:asciiTheme="minorEastAsia" w:hAnsiTheme="minorEastAsia" w:eastAsiaTheme="minorEastAsia" w:cstheme="minorEastAsia"/>
                <w:spacing w:val="7"/>
                <w:lang w:eastAsia="en-US"/>
              </w:rPr>
            </w:pPr>
            <w:r>
              <w:rPr>
                <w:rFonts w:hint="eastAsia" w:ascii="仿宋_GB2312" w:hAnsi="Times New Roman" w:eastAsia="仿宋_GB2312" w:cs="Times New Roman"/>
                <w:sz w:val="24"/>
                <w:szCs w:val="24"/>
                <w:lang w:eastAsia="en-US"/>
              </w:rPr>
              <w:t>理论教学法、情景模拟法</w:t>
            </w:r>
          </w:p>
        </w:tc>
      </w:tr>
      <w:tr w14:paraId="661BF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1D260867">
            <w:pPr>
              <w:spacing w:line="360" w:lineRule="exact"/>
              <w:jc w:val="center"/>
              <w:rPr>
                <w:rFonts w:asciiTheme="minorEastAsia" w:hAnsiTheme="minorEastAsia" w:cstheme="minorEastAsia"/>
                <w:snapToGrid w:val="0"/>
                <w:color w:val="000000"/>
                <w:lang w:eastAsia="en-US"/>
              </w:rPr>
            </w:pPr>
            <w:r>
              <w:rPr>
                <w:rFonts w:hint="eastAsia" w:asciiTheme="minorEastAsia" w:hAnsiTheme="minorEastAsia" w:cstheme="minorEastAsia"/>
                <w:snapToGrid w:val="0"/>
                <w:color w:val="000000"/>
                <w:position w:val="-3"/>
                <w:lang w:eastAsia="en-US"/>
              </w:rPr>
              <w:t>3</w:t>
            </w:r>
          </w:p>
        </w:tc>
        <w:tc>
          <w:tcPr>
            <w:tcW w:w="3079" w:type="dxa"/>
            <w:tcMar>
              <w:top w:w="0" w:type="dxa"/>
              <w:left w:w="108" w:type="dxa"/>
              <w:bottom w:w="0" w:type="dxa"/>
              <w:right w:w="108" w:type="dxa"/>
            </w:tcMar>
            <w:vAlign w:val="center"/>
          </w:tcPr>
          <w:p w14:paraId="7F4C42D1">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沙盘模拟实验分析</w:t>
            </w:r>
          </w:p>
        </w:tc>
        <w:tc>
          <w:tcPr>
            <w:tcW w:w="1980" w:type="dxa"/>
            <w:tcMar>
              <w:top w:w="0" w:type="dxa"/>
              <w:left w:w="108" w:type="dxa"/>
              <w:bottom w:w="0" w:type="dxa"/>
              <w:right w:w="108" w:type="dxa"/>
            </w:tcMar>
            <w:vAlign w:val="center"/>
          </w:tcPr>
          <w:p w14:paraId="472797AB">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6</w:t>
            </w:r>
          </w:p>
        </w:tc>
        <w:tc>
          <w:tcPr>
            <w:tcW w:w="2182" w:type="dxa"/>
            <w:tcMar>
              <w:top w:w="0" w:type="dxa"/>
              <w:left w:w="108" w:type="dxa"/>
              <w:bottom w:w="0" w:type="dxa"/>
              <w:right w:w="108" w:type="dxa"/>
            </w:tcMar>
            <w:vAlign w:val="center"/>
          </w:tcPr>
          <w:p w14:paraId="18B674EC">
            <w:pPr>
              <w:pStyle w:val="178"/>
              <w:spacing w:line="360" w:lineRule="exact"/>
              <w:jc w:val="center"/>
              <w:rPr>
                <w:rFonts w:asciiTheme="minorEastAsia" w:hAnsiTheme="minorEastAsia" w:eastAsiaTheme="minorEastAsia" w:cstheme="minorEastAsia"/>
                <w:spacing w:val="7"/>
                <w:lang w:eastAsia="en-US"/>
              </w:rPr>
            </w:pPr>
            <w:r>
              <w:rPr>
                <w:rFonts w:hint="eastAsia" w:ascii="仿宋_GB2312" w:hAnsi="Times New Roman" w:eastAsia="仿宋_GB2312" w:cs="Times New Roman"/>
                <w:sz w:val="24"/>
                <w:szCs w:val="24"/>
                <w:lang w:eastAsia="en-US"/>
              </w:rPr>
              <w:t>理论教学法、情景模拟法</w:t>
            </w:r>
          </w:p>
        </w:tc>
      </w:tr>
      <w:tr w14:paraId="25147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74C41320">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4</w:t>
            </w:r>
          </w:p>
        </w:tc>
        <w:tc>
          <w:tcPr>
            <w:tcW w:w="3079" w:type="dxa"/>
            <w:tcMar>
              <w:top w:w="0" w:type="dxa"/>
              <w:left w:w="108" w:type="dxa"/>
              <w:bottom w:w="0" w:type="dxa"/>
              <w:right w:w="108" w:type="dxa"/>
            </w:tcMar>
            <w:vAlign w:val="center"/>
          </w:tcPr>
          <w:p w14:paraId="003274DE">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RPA财务机器人软件开发</w:t>
            </w:r>
          </w:p>
        </w:tc>
        <w:tc>
          <w:tcPr>
            <w:tcW w:w="1980" w:type="dxa"/>
            <w:tcMar>
              <w:top w:w="0" w:type="dxa"/>
              <w:left w:w="108" w:type="dxa"/>
              <w:bottom w:w="0" w:type="dxa"/>
              <w:right w:w="108" w:type="dxa"/>
            </w:tcMar>
            <w:vAlign w:val="center"/>
          </w:tcPr>
          <w:p w14:paraId="3255296A">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8</w:t>
            </w:r>
          </w:p>
        </w:tc>
        <w:tc>
          <w:tcPr>
            <w:tcW w:w="2182" w:type="dxa"/>
            <w:tcMar>
              <w:top w:w="0" w:type="dxa"/>
              <w:left w:w="108" w:type="dxa"/>
              <w:bottom w:w="0" w:type="dxa"/>
              <w:right w:w="108" w:type="dxa"/>
            </w:tcMar>
            <w:vAlign w:val="center"/>
          </w:tcPr>
          <w:p w14:paraId="21AFFF7D">
            <w:pPr>
              <w:pStyle w:val="178"/>
              <w:spacing w:line="360" w:lineRule="exact"/>
              <w:jc w:val="center"/>
              <w:rPr>
                <w:rFonts w:asciiTheme="minorEastAsia" w:hAnsiTheme="minorEastAsia" w:eastAsiaTheme="minorEastAsia" w:cstheme="minorEastAsia"/>
                <w:spacing w:val="7"/>
                <w:lang w:eastAsia="en-US"/>
              </w:rPr>
            </w:pPr>
            <w:r>
              <w:rPr>
                <w:rFonts w:hint="eastAsia" w:ascii="仿宋_GB2312" w:hAnsi="Times New Roman" w:eastAsia="仿宋_GB2312" w:cs="Times New Roman"/>
                <w:sz w:val="24"/>
                <w:szCs w:val="24"/>
                <w:lang w:eastAsia="en-US"/>
              </w:rPr>
              <w:t>理论教学法、情景模拟法</w:t>
            </w:r>
          </w:p>
        </w:tc>
      </w:tr>
      <w:tr w14:paraId="3FD07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261" w:type="dxa"/>
            <w:tcMar>
              <w:top w:w="0" w:type="dxa"/>
              <w:left w:w="108" w:type="dxa"/>
              <w:bottom w:w="0" w:type="dxa"/>
              <w:right w:w="108" w:type="dxa"/>
            </w:tcMar>
            <w:vAlign w:val="center"/>
          </w:tcPr>
          <w:p w14:paraId="2BB40B7D">
            <w:pPr>
              <w:spacing w:line="360" w:lineRule="exact"/>
              <w:jc w:val="center"/>
              <w:rPr>
                <w:rFonts w:asciiTheme="minorEastAsia" w:hAnsiTheme="minorEastAsia" w:cstheme="minorEastAsia"/>
                <w:snapToGrid w:val="0"/>
                <w:color w:val="000000"/>
                <w:position w:val="-3"/>
                <w:lang w:eastAsia="en-US"/>
              </w:rPr>
            </w:pPr>
            <w:r>
              <w:rPr>
                <w:rFonts w:hint="eastAsia" w:asciiTheme="minorEastAsia" w:hAnsiTheme="minorEastAsia" w:cstheme="minorEastAsia"/>
                <w:snapToGrid w:val="0"/>
                <w:color w:val="000000"/>
                <w:position w:val="-3"/>
                <w:lang w:eastAsia="en-US"/>
              </w:rPr>
              <w:t>5</w:t>
            </w:r>
          </w:p>
        </w:tc>
        <w:tc>
          <w:tcPr>
            <w:tcW w:w="3079" w:type="dxa"/>
            <w:tcMar>
              <w:top w:w="0" w:type="dxa"/>
              <w:left w:w="108" w:type="dxa"/>
              <w:bottom w:w="0" w:type="dxa"/>
              <w:right w:w="108" w:type="dxa"/>
            </w:tcMar>
            <w:vAlign w:val="center"/>
          </w:tcPr>
          <w:p w14:paraId="4FBE70D3">
            <w:pPr>
              <w:pStyle w:val="178"/>
              <w:spacing w:line="360" w:lineRule="exact"/>
              <w:rPr>
                <w:rFonts w:asciiTheme="minorEastAsia" w:hAnsiTheme="minorEastAsia" w:eastAsiaTheme="minorEastAsia" w:cstheme="minorEastAsia"/>
                <w:spacing w:val="7"/>
                <w:lang w:eastAsia="en-US"/>
              </w:rPr>
            </w:pPr>
            <w:r>
              <w:rPr>
                <w:rFonts w:hint="eastAsia" w:ascii="仿宋_GB2312" w:hAnsi="宋体"/>
                <w:lang w:eastAsia="en-US"/>
              </w:rPr>
              <w:t>开发模拟训练</w:t>
            </w:r>
          </w:p>
        </w:tc>
        <w:tc>
          <w:tcPr>
            <w:tcW w:w="1980" w:type="dxa"/>
            <w:tcMar>
              <w:top w:w="0" w:type="dxa"/>
              <w:left w:w="108" w:type="dxa"/>
              <w:bottom w:w="0" w:type="dxa"/>
              <w:right w:w="108" w:type="dxa"/>
            </w:tcMar>
            <w:vAlign w:val="center"/>
          </w:tcPr>
          <w:p w14:paraId="5534951F">
            <w:pPr>
              <w:pStyle w:val="178"/>
              <w:spacing w:line="360" w:lineRule="exact"/>
              <w:jc w:val="center"/>
              <w:rPr>
                <w:rFonts w:asciiTheme="minorEastAsia" w:hAnsiTheme="minorEastAsia" w:eastAsiaTheme="minorEastAsia" w:cstheme="minorEastAsia"/>
                <w:spacing w:val="7"/>
                <w:lang w:eastAsia="en-US"/>
              </w:rPr>
            </w:pPr>
            <w:r>
              <w:rPr>
                <w:rFonts w:hint="eastAsia" w:asciiTheme="minorEastAsia" w:hAnsiTheme="minorEastAsia" w:eastAsiaTheme="minorEastAsia" w:cstheme="minorEastAsia"/>
                <w:spacing w:val="7"/>
                <w:lang w:eastAsia="en-US"/>
              </w:rPr>
              <w:t>4</w:t>
            </w:r>
          </w:p>
        </w:tc>
        <w:tc>
          <w:tcPr>
            <w:tcW w:w="2182" w:type="dxa"/>
            <w:tcMar>
              <w:top w:w="0" w:type="dxa"/>
              <w:left w:w="108" w:type="dxa"/>
              <w:bottom w:w="0" w:type="dxa"/>
              <w:right w:w="108" w:type="dxa"/>
            </w:tcMar>
            <w:vAlign w:val="center"/>
          </w:tcPr>
          <w:p w14:paraId="04DEE3D0">
            <w:pPr>
              <w:pStyle w:val="178"/>
              <w:spacing w:line="360" w:lineRule="exact"/>
              <w:jc w:val="center"/>
              <w:rPr>
                <w:rFonts w:asciiTheme="minorEastAsia" w:hAnsiTheme="minorEastAsia" w:eastAsiaTheme="minorEastAsia" w:cstheme="minorEastAsia"/>
                <w:spacing w:val="7"/>
                <w:lang w:eastAsia="en-US"/>
              </w:rPr>
            </w:pPr>
            <w:r>
              <w:rPr>
                <w:rFonts w:hint="eastAsia" w:ascii="仿宋_GB2312" w:hAnsi="Times New Roman" w:eastAsia="仿宋_GB2312" w:cs="Times New Roman"/>
                <w:sz w:val="24"/>
                <w:szCs w:val="24"/>
                <w:lang w:eastAsia="en-US"/>
              </w:rPr>
              <w:t>理论教学法、情景模拟法</w:t>
            </w:r>
          </w:p>
        </w:tc>
      </w:tr>
    </w:tbl>
    <w:p w14:paraId="016275CA">
      <w:pPr>
        <w:pStyle w:val="40"/>
        <w:ind w:firstLine="0" w:firstLineChars="0"/>
        <w:rPr>
          <w:rFonts w:ascii="黑体" w:hAnsi="黑体" w:eastAsia="黑体"/>
          <w:sz w:val="24"/>
          <w:szCs w:val="24"/>
        </w:rPr>
      </w:pPr>
    </w:p>
    <w:p w14:paraId="1CD5AD32">
      <w:pPr>
        <w:widowControl/>
        <w:jc w:val="left"/>
        <w:rPr>
          <w:rFonts w:ascii="仿宋_GB2312" w:hAnsi="Times New Roman" w:eastAsia="仿宋_GB2312" w:cs="Times New Roman"/>
          <w:sz w:val="24"/>
          <w:szCs w:val="24"/>
        </w:rPr>
      </w:pPr>
    </w:p>
    <w:sectPr>
      <w:footerReference r:id="rId3" w:type="default"/>
      <w:pgSz w:w="11906" w:h="16838"/>
      <w:pgMar w:top="1440" w:right="1800" w:bottom="1440" w:left="1800" w:header="851"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CC7C44-C371-4B4E-AA6D-A06CC2A33444}"/>
  </w:font>
  <w:font w:name="黑体">
    <w:panose1 w:val="02010609060101010101"/>
    <w:charset w:val="86"/>
    <w:family w:val="auto"/>
    <w:pitch w:val="default"/>
    <w:sig w:usb0="800002BF" w:usb1="38CF7CFA" w:usb2="00000016" w:usb3="00000000" w:csb0="00040001" w:csb1="00000000"/>
    <w:embedRegular r:id="rId2" w:fontKey="{CE921D59-21D2-4F08-BAB9-323C4828E1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7A4AAB1-D569-4C57-AA5B-69AE0D0E6C80}"/>
  </w:font>
  <w:font w:name="楷体_GB2312">
    <w:panose1 w:val="02010609030101010101"/>
    <w:charset w:val="86"/>
    <w:family w:val="modern"/>
    <w:pitch w:val="default"/>
    <w:sig w:usb0="00000001" w:usb1="080E0000" w:usb2="00000000" w:usb3="00000000" w:csb0="00040000" w:csb1="00000000"/>
    <w:embedRegular r:id="rId4" w:fontKey="{82AC4452-11AE-4E60-BC7F-4A172B4B4C8D}"/>
  </w:font>
  <w:font w:name="方正小标宋_GBK">
    <w:panose1 w:val="02000000000000000000"/>
    <w:charset w:val="86"/>
    <w:family w:val="auto"/>
    <w:pitch w:val="default"/>
    <w:sig w:usb0="A00002BF" w:usb1="38CF7CFA" w:usb2="00082016" w:usb3="00000000" w:csb0="00040001" w:csb1="00000000"/>
    <w:embedRegular r:id="rId5" w:fontKey="{AE3E6E74-EB00-4072-99E9-5F5BBEE887DA}"/>
  </w:font>
  <w:font w:name="仿宋_GB2312">
    <w:panose1 w:val="02010609030101010101"/>
    <w:charset w:val="86"/>
    <w:family w:val="modern"/>
    <w:pitch w:val="default"/>
    <w:sig w:usb0="00000001" w:usb1="080E0000" w:usb2="00000000" w:usb3="00000000" w:csb0="00040000" w:csb1="00000000"/>
    <w:embedRegular r:id="rId6" w:fontKey="{6A07C301-BE9F-4ADA-9F2D-B7370846294C}"/>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7" w:fontKey="{D1593012-CDF4-437F-ADE7-788A4143E69D}"/>
  </w:font>
  <w:font w:name="微软雅黑">
    <w:panose1 w:val="020B0503020204020204"/>
    <w:charset w:val="86"/>
    <w:family w:val="swiss"/>
    <w:pitch w:val="default"/>
    <w:sig w:usb0="80000287" w:usb1="2ACF3C50" w:usb2="00000016" w:usb3="00000000" w:csb0="0004001F" w:csb1="00000000"/>
    <w:embedRegular r:id="rId8" w:fontKey="{B3FFD548-15A8-4B22-B9BD-3C4224709A01}"/>
  </w:font>
  <w:font w:name="Verdana">
    <w:panose1 w:val="020B0604030504040204"/>
    <w:charset w:val="00"/>
    <w:family w:val="swiss"/>
    <w:pitch w:val="default"/>
    <w:sig w:usb0="A00006FF" w:usb1="4000205B" w:usb2="00000010" w:usb3="00000000" w:csb0="2000019F" w:csb1="00000000"/>
  </w:font>
  <w:font w:name="宋体.鄆...">
    <w:altName w:val="宋体"/>
    <w:panose1 w:val="00000000000000000000"/>
    <w:charset w:val="86"/>
    <w:family w:val="roman"/>
    <w:pitch w:val="default"/>
    <w:sig w:usb0="00000000" w:usb1="00000000" w:usb2="00000010" w:usb3="00000000" w:csb0="00040000" w:csb1="00000000"/>
  </w:font>
  <w:font w:name="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9" w:fontKey="{DEB0EEB0-1A54-4D62-BC7F-B58D092D0DDA}"/>
  </w:font>
  <w:font w:name="Times">
    <w:altName w:val="Times New Roman"/>
    <w:panose1 w:val="02020603050405020304"/>
    <w:charset w:val="00"/>
    <w:family w:val="roman"/>
    <w:pitch w:val="default"/>
    <w:sig w:usb0="00000000" w:usb1="00000000" w:usb2="00000009" w:usb3="00000000" w:csb0="000001FF" w:csb1="00000000"/>
  </w:font>
  <w:font w:name="??">
    <w:altName w:val="Times New Roman"/>
    <w:panose1 w:val="00000000000000000000"/>
    <w:charset w:val="B1"/>
    <w:family w:val="auto"/>
    <w:pitch w:val="default"/>
    <w:sig w:usb0="00000000" w:usb1="00000000" w:usb2="00000000" w:usb3="00000000" w:csb0="0000002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10" w:fontKey="{7F345D7C-238A-4FDD-AB01-D513BB89AC65}"/>
  </w:font>
  <w:font w:name="仿宋">
    <w:panose1 w:val="02010609060101010101"/>
    <w:charset w:val="86"/>
    <w:family w:val="modern"/>
    <w:pitch w:val="default"/>
    <w:sig w:usb0="800002BF" w:usb1="38CF7CFA" w:usb2="00000016" w:usb3="00000000" w:csb0="00040001" w:csb1="00000000"/>
    <w:embedRegular r:id="rId11" w:fontKey="{56DB6D77-D583-4673-BE89-644B59656F32}"/>
  </w:font>
  <w:font w:name="等线 Light">
    <w:panose1 w:val="02010600030101010101"/>
    <w:charset w:val="86"/>
    <w:family w:val="auto"/>
    <w:pitch w:val="default"/>
    <w:sig w:usb0="A00002BF" w:usb1="38CF7CFA" w:usb2="00000016" w:usb3="00000000" w:csb0="0004000F" w:csb1="00000000"/>
    <w:embedRegular r:id="rId12" w:fontKey="{0A26F6AE-A7FF-4D90-B65D-9159F89639A1}"/>
  </w:font>
  <w:font w:name="___WRD_EMBED_SUB_44">
    <w:altName w:val="宋体"/>
    <w:panose1 w:val="00000000000000000000"/>
    <w:charset w:val="86"/>
    <w:family w:val="modern"/>
    <w:pitch w:val="default"/>
    <w:sig w:usb0="00000000" w:usb1="00000000" w:usb2="00000000" w:usb3="00000000" w:csb0="00040000" w:csb1="00000000"/>
    <w:embedRegular r:id="rId13" w:fontKey="{DF7D6754-9489-42A7-8BF4-63F7AA757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135689"/>
    </w:sdtPr>
    <w:sdtContent>
      <w:p w14:paraId="34939EDC">
        <w:pPr>
          <w:pStyle w:val="27"/>
          <w:jc w:val="center"/>
        </w:pPr>
        <w:r>
          <w:fldChar w:fldCharType="begin"/>
        </w:r>
        <w:r>
          <w:instrText xml:space="preserve">PAGE   \* MERGEFORMAT</w:instrText>
        </w:r>
        <w:r>
          <w:fldChar w:fldCharType="separate"/>
        </w:r>
        <w:r>
          <w:rPr>
            <w:lang w:val="zh-CN"/>
          </w:rPr>
          <w:t>19</w:t>
        </w:r>
        <w:r>
          <w:fldChar w:fldCharType="end"/>
        </w:r>
      </w:p>
    </w:sdtContent>
  </w:sdt>
  <w:p w14:paraId="504C7CA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E8BA5"/>
    <w:multiLevelType w:val="singleLevel"/>
    <w:tmpl w:val="927E8BA5"/>
    <w:lvl w:ilvl="0" w:tentative="0">
      <w:start w:val="1"/>
      <w:numFmt w:val="decimal"/>
      <w:lvlText w:val="%1."/>
      <w:lvlJc w:val="left"/>
      <w:pPr>
        <w:tabs>
          <w:tab w:val="left" w:pos="312"/>
        </w:tabs>
      </w:pPr>
    </w:lvl>
  </w:abstractNum>
  <w:abstractNum w:abstractNumId="1">
    <w:nsid w:val="052B7D43"/>
    <w:multiLevelType w:val="multilevel"/>
    <w:tmpl w:val="052B7D43"/>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1765AB2"/>
    <w:multiLevelType w:val="singleLevel"/>
    <w:tmpl w:val="21765AB2"/>
    <w:lvl w:ilvl="0" w:tentative="0">
      <w:start w:val="1"/>
      <w:numFmt w:val="decimal"/>
      <w:lvlText w:val="%1."/>
      <w:lvlJc w:val="left"/>
      <w:pPr>
        <w:tabs>
          <w:tab w:val="left" w:pos="312"/>
        </w:tabs>
      </w:pPr>
    </w:lvl>
  </w:abstractNum>
  <w:abstractNum w:abstractNumId="3">
    <w:nsid w:val="4150F0B2"/>
    <w:multiLevelType w:val="singleLevel"/>
    <w:tmpl w:val="4150F0B2"/>
    <w:lvl w:ilvl="0" w:tentative="0">
      <w:start w:val="1"/>
      <w:numFmt w:val="chineseCounting"/>
      <w:suff w:val="nothing"/>
      <w:lvlText w:val="（%1）"/>
      <w:lvlJc w:val="left"/>
      <w:rPr>
        <w:rFonts w:hint="eastAsia"/>
      </w:rPr>
    </w:lvl>
  </w:abstractNum>
  <w:abstractNum w:abstractNumId="4">
    <w:nsid w:val="5753EE0D"/>
    <w:multiLevelType w:val="singleLevel"/>
    <w:tmpl w:val="5753EE0D"/>
    <w:lvl w:ilvl="0" w:tentative="0">
      <w:start w:val="3"/>
      <w:numFmt w:val="chineseCounting"/>
      <w:suff w:val="nothing"/>
      <w:lvlText w:val="%1、"/>
      <w:lvlJc w:val="left"/>
      <w:rPr>
        <w:rFonts w:hint="eastAsia"/>
      </w:rPr>
    </w:lvl>
  </w:abstractNum>
  <w:num w:numId="1">
    <w:abstractNumId w:val="4"/>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4MmEzOWQzZWNlNWI0ZTUxZjU1NmIyMGViMjQxODMifQ=="/>
  </w:docVars>
  <w:rsids>
    <w:rsidRoot w:val="004D253F"/>
    <w:rsid w:val="00000979"/>
    <w:rsid w:val="00006888"/>
    <w:rsid w:val="00007E52"/>
    <w:rsid w:val="00010980"/>
    <w:rsid w:val="00013684"/>
    <w:rsid w:val="00013E94"/>
    <w:rsid w:val="00034C1D"/>
    <w:rsid w:val="00041652"/>
    <w:rsid w:val="000513EB"/>
    <w:rsid w:val="00064276"/>
    <w:rsid w:val="00064358"/>
    <w:rsid w:val="00082A98"/>
    <w:rsid w:val="0008649D"/>
    <w:rsid w:val="00094B18"/>
    <w:rsid w:val="000A0400"/>
    <w:rsid w:val="000A47CC"/>
    <w:rsid w:val="000B3F15"/>
    <w:rsid w:val="000B6B1C"/>
    <w:rsid w:val="000C1FD3"/>
    <w:rsid w:val="000C2CCF"/>
    <w:rsid w:val="000C3C79"/>
    <w:rsid w:val="000C3C8F"/>
    <w:rsid w:val="000D2770"/>
    <w:rsid w:val="000D541F"/>
    <w:rsid w:val="000D79A3"/>
    <w:rsid w:val="000E1E3D"/>
    <w:rsid w:val="000E3177"/>
    <w:rsid w:val="001002F4"/>
    <w:rsid w:val="0011197E"/>
    <w:rsid w:val="00116724"/>
    <w:rsid w:val="0012579C"/>
    <w:rsid w:val="00131420"/>
    <w:rsid w:val="00147C91"/>
    <w:rsid w:val="00151D79"/>
    <w:rsid w:val="0017557E"/>
    <w:rsid w:val="0018152D"/>
    <w:rsid w:val="00182B91"/>
    <w:rsid w:val="001916E6"/>
    <w:rsid w:val="001B0DB8"/>
    <w:rsid w:val="001C64A9"/>
    <w:rsid w:val="001D21E0"/>
    <w:rsid w:val="001D428C"/>
    <w:rsid w:val="001E012F"/>
    <w:rsid w:val="001E106E"/>
    <w:rsid w:val="001E4331"/>
    <w:rsid w:val="001F176E"/>
    <w:rsid w:val="00201874"/>
    <w:rsid w:val="00211DCD"/>
    <w:rsid w:val="00217DFD"/>
    <w:rsid w:val="00225BF6"/>
    <w:rsid w:val="00226176"/>
    <w:rsid w:val="00236BFC"/>
    <w:rsid w:val="00236F35"/>
    <w:rsid w:val="002403E8"/>
    <w:rsid w:val="00246BAC"/>
    <w:rsid w:val="0025553F"/>
    <w:rsid w:val="00255DD6"/>
    <w:rsid w:val="0026393F"/>
    <w:rsid w:val="00263C30"/>
    <w:rsid w:val="00284D5B"/>
    <w:rsid w:val="002927BD"/>
    <w:rsid w:val="002A0A8B"/>
    <w:rsid w:val="002A13FE"/>
    <w:rsid w:val="002B3294"/>
    <w:rsid w:val="002C6D62"/>
    <w:rsid w:val="002F0A7F"/>
    <w:rsid w:val="002F7163"/>
    <w:rsid w:val="00321781"/>
    <w:rsid w:val="00331AE2"/>
    <w:rsid w:val="00332B46"/>
    <w:rsid w:val="003377E3"/>
    <w:rsid w:val="00342124"/>
    <w:rsid w:val="00342633"/>
    <w:rsid w:val="00342F71"/>
    <w:rsid w:val="00344091"/>
    <w:rsid w:val="00344A56"/>
    <w:rsid w:val="00366169"/>
    <w:rsid w:val="00373B43"/>
    <w:rsid w:val="00376357"/>
    <w:rsid w:val="00376914"/>
    <w:rsid w:val="00384FAA"/>
    <w:rsid w:val="00387294"/>
    <w:rsid w:val="003C39C9"/>
    <w:rsid w:val="003C58DC"/>
    <w:rsid w:val="003D7653"/>
    <w:rsid w:val="003E30DB"/>
    <w:rsid w:val="003E3146"/>
    <w:rsid w:val="003F55C2"/>
    <w:rsid w:val="003F7630"/>
    <w:rsid w:val="00414898"/>
    <w:rsid w:val="0041559B"/>
    <w:rsid w:val="00415B0B"/>
    <w:rsid w:val="004272FC"/>
    <w:rsid w:val="004313CE"/>
    <w:rsid w:val="00436178"/>
    <w:rsid w:val="0044288C"/>
    <w:rsid w:val="004428F6"/>
    <w:rsid w:val="00453653"/>
    <w:rsid w:val="00456BB0"/>
    <w:rsid w:val="00463079"/>
    <w:rsid w:val="00465AF5"/>
    <w:rsid w:val="004671F4"/>
    <w:rsid w:val="00467F2C"/>
    <w:rsid w:val="00472F17"/>
    <w:rsid w:val="00485152"/>
    <w:rsid w:val="004A4B05"/>
    <w:rsid w:val="004B0F4F"/>
    <w:rsid w:val="004B12AC"/>
    <w:rsid w:val="004B6A4B"/>
    <w:rsid w:val="004B6B9C"/>
    <w:rsid w:val="004C123F"/>
    <w:rsid w:val="004C65A6"/>
    <w:rsid w:val="004D253F"/>
    <w:rsid w:val="004F09CC"/>
    <w:rsid w:val="004F5805"/>
    <w:rsid w:val="00504C51"/>
    <w:rsid w:val="00522B2A"/>
    <w:rsid w:val="00532615"/>
    <w:rsid w:val="00532E58"/>
    <w:rsid w:val="00533719"/>
    <w:rsid w:val="00534882"/>
    <w:rsid w:val="0053503A"/>
    <w:rsid w:val="00537DA2"/>
    <w:rsid w:val="00550257"/>
    <w:rsid w:val="00551B5F"/>
    <w:rsid w:val="005551AB"/>
    <w:rsid w:val="0056045E"/>
    <w:rsid w:val="00562934"/>
    <w:rsid w:val="005755F1"/>
    <w:rsid w:val="005837A7"/>
    <w:rsid w:val="00585F66"/>
    <w:rsid w:val="00592ABB"/>
    <w:rsid w:val="005A65B3"/>
    <w:rsid w:val="005B11F9"/>
    <w:rsid w:val="005C09C4"/>
    <w:rsid w:val="005C6A7D"/>
    <w:rsid w:val="005D0BE5"/>
    <w:rsid w:val="005D11B2"/>
    <w:rsid w:val="005D2A74"/>
    <w:rsid w:val="005D60D1"/>
    <w:rsid w:val="005E2F5C"/>
    <w:rsid w:val="005F5B70"/>
    <w:rsid w:val="005F60E8"/>
    <w:rsid w:val="00612442"/>
    <w:rsid w:val="00620BBF"/>
    <w:rsid w:val="00623543"/>
    <w:rsid w:val="00623DC6"/>
    <w:rsid w:val="006301D1"/>
    <w:rsid w:val="006322CA"/>
    <w:rsid w:val="00634860"/>
    <w:rsid w:val="00636CC2"/>
    <w:rsid w:val="0065295E"/>
    <w:rsid w:val="00652E3F"/>
    <w:rsid w:val="0065746A"/>
    <w:rsid w:val="00664C13"/>
    <w:rsid w:val="00665A0C"/>
    <w:rsid w:val="00666704"/>
    <w:rsid w:val="006673D4"/>
    <w:rsid w:val="006726BA"/>
    <w:rsid w:val="006729D9"/>
    <w:rsid w:val="00675FC7"/>
    <w:rsid w:val="00676351"/>
    <w:rsid w:val="00681ABB"/>
    <w:rsid w:val="006867EC"/>
    <w:rsid w:val="00696DF3"/>
    <w:rsid w:val="006A0408"/>
    <w:rsid w:val="006A0989"/>
    <w:rsid w:val="006A1EAE"/>
    <w:rsid w:val="006A466F"/>
    <w:rsid w:val="006A4FC0"/>
    <w:rsid w:val="006B13CC"/>
    <w:rsid w:val="006B18C0"/>
    <w:rsid w:val="006B2A02"/>
    <w:rsid w:val="006B382E"/>
    <w:rsid w:val="006C07D1"/>
    <w:rsid w:val="006C3E54"/>
    <w:rsid w:val="006C57B1"/>
    <w:rsid w:val="006C7E87"/>
    <w:rsid w:val="006D2048"/>
    <w:rsid w:val="006D330D"/>
    <w:rsid w:val="006E1754"/>
    <w:rsid w:val="006F6508"/>
    <w:rsid w:val="00701F54"/>
    <w:rsid w:val="00710DD7"/>
    <w:rsid w:val="00711339"/>
    <w:rsid w:val="007207F5"/>
    <w:rsid w:val="00725870"/>
    <w:rsid w:val="007324C0"/>
    <w:rsid w:val="00746C37"/>
    <w:rsid w:val="00754014"/>
    <w:rsid w:val="00761B34"/>
    <w:rsid w:val="007667F0"/>
    <w:rsid w:val="007726E1"/>
    <w:rsid w:val="00783935"/>
    <w:rsid w:val="0078556B"/>
    <w:rsid w:val="007A288A"/>
    <w:rsid w:val="007C57F0"/>
    <w:rsid w:val="007D7A57"/>
    <w:rsid w:val="007E0956"/>
    <w:rsid w:val="007E4029"/>
    <w:rsid w:val="00802DC2"/>
    <w:rsid w:val="00807EE0"/>
    <w:rsid w:val="008108E4"/>
    <w:rsid w:val="00812B61"/>
    <w:rsid w:val="008166ED"/>
    <w:rsid w:val="00824069"/>
    <w:rsid w:val="00824B1E"/>
    <w:rsid w:val="00836D8F"/>
    <w:rsid w:val="00841A3A"/>
    <w:rsid w:val="0084584F"/>
    <w:rsid w:val="00872284"/>
    <w:rsid w:val="008765E4"/>
    <w:rsid w:val="008876B9"/>
    <w:rsid w:val="00892B4A"/>
    <w:rsid w:val="0089440F"/>
    <w:rsid w:val="00894FDB"/>
    <w:rsid w:val="008A041C"/>
    <w:rsid w:val="008A23C8"/>
    <w:rsid w:val="008B0753"/>
    <w:rsid w:val="008B24D5"/>
    <w:rsid w:val="008C1DDD"/>
    <w:rsid w:val="008C25A3"/>
    <w:rsid w:val="008C65F5"/>
    <w:rsid w:val="008D3C4A"/>
    <w:rsid w:val="008E07BA"/>
    <w:rsid w:val="008E4B96"/>
    <w:rsid w:val="008F40B9"/>
    <w:rsid w:val="00900A9E"/>
    <w:rsid w:val="00903480"/>
    <w:rsid w:val="00903556"/>
    <w:rsid w:val="009111F0"/>
    <w:rsid w:val="009208EC"/>
    <w:rsid w:val="00931029"/>
    <w:rsid w:val="0093780A"/>
    <w:rsid w:val="0095085F"/>
    <w:rsid w:val="00953E9C"/>
    <w:rsid w:val="009616C8"/>
    <w:rsid w:val="00964BB1"/>
    <w:rsid w:val="00995D82"/>
    <w:rsid w:val="00997B64"/>
    <w:rsid w:val="009A16DF"/>
    <w:rsid w:val="009A2CE4"/>
    <w:rsid w:val="009A3E3B"/>
    <w:rsid w:val="009A3F13"/>
    <w:rsid w:val="009A589F"/>
    <w:rsid w:val="009C5DF1"/>
    <w:rsid w:val="009C62D9"/>
    <w:rsid w:val="009E252E"/>
    <w:rsid w:val="009E63E6"/>
    <w:rsid w:val="009F3B0E"/>
    <w:rsid w:val="009F6B31"/>
    <w:rsid w:val="00A025FA"/>
    <w:rsid w:val="00A044C2"/>
    <w:rsid w:val="00A4050B"/>
    <w:rsid w:val="00A446B0"/>
    <w:rsid w:val="00A4679A"/>
    <w:rsid w:val="00A50C6A"/>
    <w:rsid w:val="00A54519"/>
    <w:rsid w:val="00A72EDF"/>
    <w:rsid w:val="00A822EB"/>
    <w:rsid w:val="00A8408C"/>
    <w:rsid w:val="00A84385"/>
    <w:rsid w:val="00A86659"/>
    <w:rsid w:val="00A90641"/>
    <w:rsid w:val="00A947A5"/>
    <w:rsid w:val="00A95168"/>
    <w:rsid w:val="00AA3A08"/>
    <w:rsid w:val="00AA3EB6"/>
    <w:rsid w:val="00AA4F2F"/>
    <w:rsid w:val="00AA5E93"/>
    <w:rsid w:val="00AB494F"/>
    <w:rsid w:val="00AB5EFB"/>
    <w:rsid w:val="00AD3CB7"/>
    <w:rsid w:val="00AF29A3"/>
    <w:rsid w:val="00AF2C0A"/>
    <w:rsid w:val="00B056D3"/>
    <w:rsid w:val="00B07080"/>
    <w:rsid w:val="00B3327C"/>
    <w:rsid w:val="00B411F1"/>
    <w:rsid w:val="00B44C66"/>
    <w:rsid w:val="00B46D14"/>
    <w:rsid w:val="00B5178F"/>
    <w:rsid w:val="00B51FB2"/>
    <w:rsid w:val="00B5281C"/>
    <w:rsid w:val="00B55E0F"/>
    <w:rsid w:val="00B5684C"/>
    <w:rsid w:val="00B57C10"/>
    <w:rsid w:val="00B714FC"/>
    <w:rsid w:val="00B76819"/>
    <w:rsid w:val="00B84AD1"/>
    <w:rsid w:val="00B87EAA"/>
    <w:rsid w:val="00BA5FB7"/>
    <w:rsid w:val="00BB58A5"/>
    <w:rsid w:val="00BB7F35"/>
    <w:rsid w:val="00BC68B2"/>
    <w:rsid w:val="00BD1AD8"/>
    <w:rsid w:val="00BD2A14"/>
    <w:rsid w:val="00BF0CA9"/>
    <w:rsid w:val="00BF41E3"/>
    <w:rsid w:val="00BF7738"/>
    <w:rsid w:val="00C0051F"/>
    <w:rsid w:val="00C01502"/>
    <w:rsid w:val="00C0386B"/>
    <w:rsid w:val="00C20B43"/>
    <w:rsid w:val="00C2249A"/>
    <w:rsid w:val="00C23ABB"/>
    <w:rsid w:val="00C27491"/>
    <w:rsid w:val="00C3158A"/>
    <w:rsid w:val="00C32A75"/>
    <w:rsid w:val="00C42B1E"/>
    <w:rsid w:val="00C5346B"/>
    <w:rsid w:val="00C77D45"/>
    <w:rsid w:val="00C809AB"/>
    <w:rsid w:val="00C83831"/>
    <w:rsid w:val="00C8457A"/>
    <w:rsid w:val="00C86C9B"/>
    <w:rsid w:val="00C86D42"/>
    <w:rsid w:val="00C92D65"/>
    <w:rsid w:val="00CA3369"/>
    <w:rsid w:val="00CB6B32"/>
    <w:rsid w:val="00CC093A"/>
    <w:rsid w:val="00CC5D1D"/>
    <w:rsid w:val="00CE2537"/>
    <w:rsid w:val="00CF11D8"/>
    <w:rsid w:val="00CF43A9"/>
    <w:rsid w:val="00D0748F"/>
    <w:rsid w:val="00D10CD9"/>
    <w:rsid w:val="00D166F2"/>
    <w:rsid w:val="00D24E8E"/>
    <w:rsid w:val="00D322AE"/>
    <w:rsid w:val="00D35F4C"/>
    <w:rsid w:val="00D37534"/>
    <w:rsid w:val="00D40A56"/>
    <w:rsid w:val="00D428C7"/>
    <w:rsid w:val="00D43E4A"/>
    <w:rsid w:val="00D45F36"/>
    <w:rsid w:val="00D466A8"/>
    <w:rsid w:val="00D57AC7"/>
    <w:rsid w:val="00D62CFB"/>
    <w:rsid w:val="00D907E1"/>
    <w:rsid w:val="00D9403F"/>
    <w:rsid w:val="00DB61C2"/>
    <w:rsid w:val="00DC0748"/>
    <w:rsid w:val="00DC6F52"/>
    <w:rsid w:val="00DE50CF"/>
    <w:rsid w:val="00DF4B43"/>
    <w:rsid w:val="00DF73B6"/>
    <w:rsid w:val="00E00A0F"/>
    <w:rsid w:val="00E033BA"/>
    <w:rsid w:val="00E070D4"/>
    <w:rsid w:val="00E12D20"/>
    <w:rsid w:val="00E16296"/>
    <w:rsid w:val="00E20DE5"/>
    <w:rsid w:val="00E21AA5"/>
    <w:rsid w:val="00E225AF"/>
    <w:rsid w:val="00E24D4F"/>
    <w:rsid w:val="00E311E4"/>
    <w:rsid w:val="00E331AC"/>
    <w:rsid w:val="00E43650"/>
    <w:rsid w:val="00E43CD7"/>
    <w:rsid w:val="00E50862"/>
    <w:rsid w:val="00E54A3A"/>
    <w:rsid w:val="00E64409"/>
    <w:rsid w:val="00E64E3A"/>
    <w:rsid w:val="00E76CFC"/>
    <w:rsid w:val="00E83589"/>
    <w:rsid w:val="00E85A68"/>
    <w:rsid w:val="00E86536"/>
    <w:rsid w:val="00E87739"/>
    <w:rsid w:val="00EA2A4B"/>
    <w:rsid w:val="00EB0DCE"/>
    <w:rsid w:val="00EB1041"/>
    <w:rsid w:val="00EC148D"/>
    <w:rsid w:val="00EC60E2"/>
    <w:rsid w:val="00ED3E39"/>
    <w:rsid w:val="00EE026C"/>
    <w:rsid w:val="00EE3357"/>
    <w:rsid w:val="00EE4426"/>
    <w:rsid w:val="00EE6F1B"/>
    <w:rsid w:val="00EF05CA"/>
    <w:rsid w:val="00EF714E"/>
    <w:rsid w:val="00F05245"/>
    <w:rsid w:val="00F27C32"/>
    <w:rsid w:val="00F306B2"/>
    <w:rsid w:val="00F33CE3"/>
    <w:rsid w:val="00F450A9"/>
    <w:rsid w:val="00F46A8E"/>
    <w:rsid w:val="00F52BBD"/>
    <w:rsid w:val="00F57C71"/>
    <w:rsid w:val="00F606D8"/>
    <w:rsid w:val="00F637C0"/>
    <w:rsid w:val="00F65E02"/>
    <w:rsid w:val="00F66F4D"/>
    <w:rsid w:val="00F724AB"/>
    <w:rsid w:val="00F77E6F"/>
    <w:rsid w:val="00F8206A"/>
    <w:rsid w:val="00F9037C"/>
    <w:rsid w:val="00F920FD"/>
    <w:rsid w:val="00F92BE0"/>
    <w:rsid w:val="00FC0175"/>
    <w:rsid w:val="00FC4036"/>
    <w:rsid w:val="00FC4E2E"/>
    <w:rsid w:val="00FD707A"/>
    <w:rsid w:val="00FE1CFA"/>
    <w:rsid w:val="00FE7251"/>
    <w:rsid w:val="01161740"/>
    <w:rsid w:val="01787946"/>
    <w:rsid w:val="021D229B"/>
    <w:rsid w:val="026000AB"/>
    <w:rsid w:val="027F4D04"/>
    <w:rsid w:val="02820350"/>
    <w:rsid w:val="035A3648"/>
    <w:rsid w:val="038720C2"/>
    <w:rsid w:val="03890C5A"/>
    <w:rsid w:val="039B1A2C"/>
    <w:rsid w:val="03AF6F21"/>
    <w:rsid w:val="043E4B75"/>
    <w:rsid w:val="045A09FE"/>
    <w:rsid w:val="0486237A"/>
    <w:rsid w:val="04DC21BC"/>
    <w:rsid w:val="051A3BCD"/>
    <w:rsid w:val="056035E3"/>
    <w:rsid w:val="05DE5A24"/>
    <w:rsid w:val="05FF4A3C"/>
    <w:rsid w:val="06171BB5"/>
    <w:rsid w:val="069D39AB"/>
    <w:rsid w:val="06F42124"/>
    <w:rsid w:val="074309F6"/>
    <w:rsid w:val="07493DE4"/>
    <w:rsid w:val="07AA6C9E"/>
    <w:rsid w:val="08640C24"/>
    <w:rsid w:val="09FE0C04"/>
    <w:rsid w:val="0A014251"/>
    <w:rsid w:val="0A764C3F"/>
    <w:rsid w:val="0A817EB9"/>
    <w:rsid w:val="0BE20A4D"/>
    <w:rsid w:val="0C9507FB"/>
    <w:rsid w:val="0DDE4FD5"/>
    <w:rsid w:val="0E7F3264"/>
    <w:rsid w:val="0F0D4814"/>
    <w:rsid w:val="0FEA282E"/>
    <w:rsid w:val="109A0E82"/>
    <w:rsid w:val="10C2298C"/>
    <w:rsid w:val="10F66747"/>
    <w:rsid w:val="114809B7"/>
    <w:rsid w:val="11A7426A"/>
    <w:rsid w:val="12BD34D7"/>
    <w:rsid w:val="13B503F8"/>
    <w:rsid w:val="13DB5B12"/>
    <w:rsid w:val="13FD017F"/>
    <w:rsid w:val="14A25F16"/>
    <w:rsid w:val="14C342C9"/>
    <w:rsid w:val="14C86E53"/>
    <w:rsid w:val="14E559EF"/>
    <w:rsid w:val="15104B23"/>
    <w:rsid w:val="15C63D1D"/>
    <w:rsid w:val="15DD55FA"/>
    <w:rsid w:val="16FA7B24"/>
    <w:rsid w:val="17637B55"/>
    <w:rsid w:val="176928DA"/>
    <w:rsid w:val="188E3A9B"/>
    <w:rsid w:val="18E415B4"/>
    <w:rsid w:val="199C7AF2"/>
    <w:rsid w:val="1A0F29BA"/>
    <w:rsid w:val="1A367F46"/>
    <w:rsid w:val="1A676352"/>
    <w:rsid w:val="1BB235FD"/>
    <w:rsid w:val="1BC007FC"/>
    <w:rsid w:val="1BD417C5"/>
    <w:rsid w:val="1CC36E2F"/>
    <w:rsid w:val="1D047E88"/>
    <w:rsid w:val="1EB25356"/>
    <w:rsid w:val="1ED41ADC"/>
    <w:rsid w:val="214747E7"/>
    <w:rsid w:val="21A804C5"/>
    <w:rsid w:val="220B0118"/>
    <w:rsid w:val="22230DB0"/>
    <w:rsid w:val="227D2BB6"/>
    <w:rsid w:val="22B71023"/>
    <w:rsid w:val="22E54E3C"/>
    <w:rsid w:val="23004E3C"/>
    <w:rsid w:val="23F6423E"/>
    <w:rsid w:val="243948BB"/>
    <w:rsid w:val="24944132"/>
    <w:rsid w:val="249920BA"/>
    <w:rsid w:val="24997A50"/>
    <w:rsid w:val="24F133E8"/>
    <w:rsid w:val="252176FD"/>
    <w:rsid w:val="252B76B7"/>
    <w:rsid w:val="256D5105"/>
    <w:rsid w:val="259C2261"/>
    <w:rsid w:val="25BD32CA"/>
    <w:rsid w:val="2628108B"/>
    <w:rsid w:val="26811B74"/>
    <w:rsid w:val="27DA59F1"/>
    <w:rsid w:val="2810627B"/>
    <w:rsid w:val="2862762B"/>
    <w:rsid w:val="289B688E"/>
    <w:rsid w:val="28B9421C"/>
    <w:rsid w:val="291476A5"/>
    <w:rsid w:val="2A757AF1"/>
    <w:rsid w:val="2B6514AC"/>
    <w:rsid w:val="2B6D1F09"/>
    <w:rsid w:val="2CBF5B79"/>
    <w:rsid w:val="2FED7C4E"/>
    <w:rsid w:val="2FEE50F3"/>
    <w:rsid w:val="3040220C"/>
    <w:rsid w:val="304634B0"/>
    <w:rsid w:val="30553C30"/>
    <w:rsid w:val="30F82853"/>
    <w:rsid w:val="311C7A3E"/>
    <w:rsid w:val="317B6181"/>
    <w:rsid w:val="317D0C18"/>
    <w:rsid w:val="324002F2"/>
    <w:rsid w:val="32432DA9"/>
    <w:rsid w:val="32B11A86"/>
    <w:rsid w:val="335A12FF"/>
    <w:rsid w:val="3454253B"/>
    <w:rsid w:val="3464057A"/>
    <w:rsid w:val="349D6E3D"/>
    <w:rsid w:val="34F07218"/>
    <w:rsid w:val="358856A2"/>
    <w:rsid w:val="35E11256"/>
    <w:rsid w:val="364A6F3B"/>
    <w:rsid w:val="3659703F"/>
    <w:rsid w:val="36F9612C"/>
    <w:rsid w:val="3809239F"/>
    <w:rsid w:val="38A34DDD"/>
    <w:rsid w:val="38D05D93"/>
    <w:rsid w:val="393B1CEB"/>
    <w:rsid w:val="39972358"/>
    <w:rsid w:val="39C12F31"/>
    <w:rsid w:val="3A4122C4"/>
    <w:rsid w:val="3B8A0DC3"/>
    <w:rsid w:val="3C434DC6"/>
    <w:rsid w:val="3CA46ABF"/>
    <w:rsid w:val="3CF85C57"/>
    <w:rsid w:val="3D797152"/>
    <w:rsid w:val="3D934BE4"/>
    <w:rsid w:val="3D9C27BC"/>
    <w:rsid w:val="3DD82F3F"/>
    <w:rsid w:val="3EBF40F2"/>
    <w:rsid w:val="3F3E6DD2"/>
    <w:rsid w:val="3F75317E"/>
    <w:rsid w:val="3F885497"/>
    <w:rsid w:val="3FCF5C3C"/>
    <w:rsid w:val="40081A94"/>
    <w:rsid w:val="405400D4"/>
    <w:rsid w:val="40AE52C3"/>
    <w:rsid w:val="41EE0FEB"/>
    <w:rsid w:val="423544BC"/>
    <w:rsid w:val="425324D2"/>
    <w:rsid w:val="429A47CC"/>
    <w:rsid w:val="43727840"/>
    <w:rsid w:val="44A771C7"/>
    <w:rsid w:val="44AF268D"/>
    <w:rsid w:val="455410FD"/>
    <w:rsid w:val="45D263BF"/>
    <w:rsid w:val="46072613"/>
    <w:rsid w:val="46CD246E"/>
    <w:rsid w:val="47046B53"/>
    <w:rsid w:val="471663FE"/>
    <w:rsid w:val="476B1CC2"/>
    <w:rsid w:val="47B770D1"/>
    <w:rsid w:val="480C3F11"/>
    <w:rsid w:val="48376AB4"/>
    <w:rsid w:val="484418FD"/>
    <w:rsid w:val="48914416"/>
    <w:rsid w:val="48994F7D"/>
    <w:rsid w:val="49137521"/>
    <w:rsid w:val="491A35A6"/>
    <w:rsid w:val="4950607F"/>
    <w:rsid w:val="498015EE"/>
    <w:rsid w:val="49F75C3D"/>
    <w:rsid w:val="4A312530"/>
    <w:rsid w:val="4C42398C"/>
    <w:rsid w:val="4C5365B2"/>
    <w:rsid w:val="4E114E2E"/>
    <w:rsid w:val="4EBE3A8B"/>
    <w:rsid w:val="501B533C"/>
    <w:rsid w:val="5057090B"/>
    <w:rsid w:val="50B3168A"/>
    <w:rsid w:val="50BD4EF0"/>
    <w:rsid w:val="50D74025"/>
    <w:rsid w:val="51B977CF"/>
    <w:rsid w:val="533243C3"/>
    <w:rsid w:val="538708F0"/>
    <w:rsid w:val="53876B42"/>
    <w:rsid w:val="543E2CC0"/>
    <w:rsid w:val="54C82D61"/>
    <w:rsid w:val="54E97AFB"/>
    <w:rsid w:val="553700F3"/>
    <w:rsid w:val="553E5BE7"/>
    <w:rsid w:val="555D3FFE"/>
    <w:rsid w:val="56352885"/>
    <w:rsid w:val="564B3E56"/>
    <w:rsid w:val="56B65614"/>
    <w:rsid w:val="56C65908"/>
    <w:rsid w:val="577939C3"/>
    <w:rsid w:val="577B69BD"/>
    <w:rsid w:val="57AA72A2"/>
    <w:rsid w:val="57BA399C"/>
    <w:rsid w:val="58261554"/>
    <w:rsid w:val="586B3150"/>
    <w:rsid w:val="58BE3005"/>
    <w:rsid w:val="5AA4146D"/>
    <w:rsid w:val="5AAE2C06"/>
    <w:rsid w:val="5B69586F"/>
    <w:rsid w:val="5C2B79AD"/>
    <w:rsid w:val="5C7346DF"/>
    <w:rsid w:val="5CAC7619"/>
    <w:rsid w:val="5CD57E2F"/>
    <w:rsid w:val="5CDC3F9E"/>
    <w:rsid w:val="5D411383"/>
    <w:rsid w:val="5D971AA4"/>
    <w:rsid w:val="5DA30C29"/>
    <w:rsid w:val="600059EC"/>
    <w:rsid w:val="60411469"/>
    <w:rsid w:val="60E76E71"/>
    <w:rsid w:val="60F04543"/>
    <w:rsid w:val="61462F51"/>
    <w:rsid w:val="61CC6AE1"/>
    <w:rsid w:val="62136C55"/>
    <w:rsid w:val="621B7CCC"/>
    <w:rsid w:val="626B6B00"/>
    <w:rsid w:val="62E317B6"/>
    <w:rsid w:val="63503454"/>
    <w:rsid w:val="63A23524"/>
    <w:rsid w:val="64262FF7"/>
    <w:rsid w:val="644F0FB6"/>
    <w:rsid w:val="64C51278"/>
    <w:rsid w:val="64D51D9E"/>
    <w:rsid w:val="64EF6116"/>
    <w:rsid w:val="64FA3D2F"/>
    <w:rsid w:val="653A158F"/>
    <w:rsid w:val="65A370BE"/>
    <w:rsid w:val="65C5024C"/>
    <w:rsid w:val="65C6799D"/>
    <w:rsid w:val="65EB7404"/>
    <w:rsid w:val="679E4F68"/>
    <w:rsid w:val="67F004CF"/>
    <w:rsid w:val="685F3791"/>
    <w:rsid w:val="687F7CCC"/>
    <w:rsid w:val="68942DC7"/>
    <w:rsid w:val="68FE6866"/>
    <w:rsid w:val="69434E61"/>
    <w:rsid w:val="69734FE3"/>
    <w:rsid w:val="698B46A7"/>
    <w:rsid w:val="6B032AFA"/>
    <w:rsid w:val="6B162131"/>
    <w:rsid w:val="6B2C02A3"/>
    <w:rsid w:val="6BEF6E8E"/>
    <w:rsid w:val="6C2F7FCF"/>
    <w:rsid w:val="6C834937"/>
    <w:rsid w:val="6C9213E3"/>
    <w:rsid w:val="6C9F0739"/>
    <w:rsid w:val="6CB26586"/>
    <w:rsid w:val="6CEF1588"/>
    <w:rsid w:val="6DF456B4"/>
    <w:rsid w:val="6E8665EA"/>
    <w:rsid w:val="6FE56C72"/>
    <w:rsid w:val="708446DD"/>
    <w:rsid w:val="70B8527E"/>
    <w:rsid w:val="70C21653"/>
    <w:rsid w:val="731C29AB"/>
    <w:rsid w:val="731E38AE"/>
    <w:rsid w:val="746D6222"/>
    <w:rsid w:val="74CC22E1"/>
    <w:rsid w:val="75343293"/>
    <w:rsid w:val="753B10E2"/>
    <w:rsid w:val="7600088A"/>
    <w:rsid w:val="77253DF8"/>
    <w:rsid w:val="77316C41"/>
    <w:rsid w:val="77742B9B"/>
    <w:rsid w:val="77955BF1"/>
    <w:rsid w:val="77A613DD"/>
    <w:rsid w:val="7983768C"/>
    <w:rsid w:val="7A320624"/>
    <w:rsid w:val="7AFC240C"/>
    <w:rsid w:val="7B937ECA"/>
    <w:rsid w:val="7BA23C69"/>
    <w:rsid w:val="7C8861BD"/>
    <w:rsid w:val="7D004676"/>
    <w:rsid w:val="7DD07495"/>
    <w:rsid w:val="7E277C73"/>
    <w:rsid w:val="7EB77A2B"/>
    <w:rsid w:val="7F4A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0"/>
    <w:pPr>
      <w:keepNext/>
      <w:keepLines/>
      <w:spacing w:before="340" w:after="330" w:line="578" w:lineRule="auto"/>
      <w:jc w:val="left"/>
      <w:outlineLvl w:val="0"/>
    </w:pPr>
    <w:rPr>
      <w:rFonts w:ascii="Calibri" w:hAnsi="Calibri" w:eastAsia="黑体" w:cs="Times New Roman"/>
      <w:bCs/>
      <w:kern w:val="44"/>
      <w:sz w:val="32"/>
      <w:szCs w:val="44"/>
    </w:rPr>
  </w:style>
  <w:style w:type="paragraph" w:styleId="4">
    <w:name w:val="heading 2"/>
    <w:basedOn w:val="1"/>
    <w:next w:val="1"/>
    <w:link w:val="52"/>
    <w:qFormat/>
    <w:uiPriority w:val="0"/>
    <w:pPr>
      <w:keepNext/>
      <w:keepLines/>
      <w:spacing w:before="260" w:after="260" w:line="416" w:lineRule="auto"/>
      <w:outlineLvl w:val="1"/>
    </w:pPr>
    <w:rPr>
      <w:rFonts w:ascii="Arial" w:hAnsi="Arial" w:eastAsia="楷体_GB2312" w:cs="Times New Roman"/>
      <w:bCs/>
      <w:sz w:val="32"/>
      <w:szCs w:val="32"/>
    </w:rPr>
  </w:style>
  <w:style w:type="paragraph" w:styleId="5">
    <w:name w:val="heading 3"/>
    <w:basedOn w:val="1"/>
    <w:next w:val="2"/>
    <w:link w:val="53"/>
    <w:qFormat/>
    <w:uiPriority w:val="9"/>
    <w:pPr>
      <w:widowControl/>
      <w:jc w:val="center"/>
      <w:outlineLvl w:val="2"/>
    </w:pPr>
    <w:rPr>
      <w:rFonts w:ascii="宋体" w:hAnsi="宋体" w:eastAsia="方正小标宋_GBK" w:cs="宋体"/>
      <w:bCs/>
      <w:kern w:val="0"/>
      <w:sz w:val="32"/>
      <w:szCs w:val="27"/>
    </w:rPr>
  </w:style>
  <w:style w:type="paragraph" w:styleId="6">
    <w:name w:val="heading 4"/>
    <w:basedOn w:val="1"/>
    <w:next w:val="1"/>
    <w:link w:val="54"/>
    <w:unhideWhenUsed/>
    <w:qFormat/>
    <w:uiPriority w:val="9"/>
    <w:pPr>
      <w:keepNext/>
      <w:widowControl/>
      <w:spacing w:before="240" w:after="60"/>
      <w:jc w:val="left"/>
      <w:outlineLvl w:val="3"/>
    </w:pPr>
    <w:rPr>
      <w:rFonts w:ascii="Calibri" w:hAnsi="Calibri" w:eastAsia="仿宋_GB2312" w:cs="Times New Roman"/>
      <w:b/>
      <w:bCs/>
      <w:kern w:val="0"/>
      <w:sz w:val="28"/>
      <w:szCs w:val="28"/>
      <w:lang w:eastAsia="en-US" w:bidi="en-US"/>
    </w:rPr>
  </w:style>
  <w:style w:type="paragraph" w:styleId="7">
    <w:name w:val="heading 5"/>
    <w:basedOn w:val="1"/>
    <w:next w:val="1"/>
    <w:link w:val="55"/>
    <w:unhideWhenUsed/>
    <w:qFormat/>
    <w:uiPriority w:val="9"/>
    <w:pPr>
      <w:widowControl/>
      <w:spacing w:before="240" w:after="60"/>
      <w:jc w:val="left"/>
      <w:outlineLvl w:val="4"/>
    </w:pPr>
    <w:rPr>
      <w:rFonts w:ascii="Calibri" w:hAnsi="Calibri" w:eastAsia="仿宋_GB2312" w:cs="Times New Roman"/>
      <w:b/>
      <w:bCs/>
      <w:i/>
      <w:iCs/>
      <w:kern w:val="0"/>
      <w:sz w:val="26"/>
      <w:szCs w:val="26"/>
      <w:lang w:eastAsia="en-US" w:bidi="en-US"/>
    </w:rPr>
  </w:style>
  <w:style w:type="paragraph" w:styleId="8">
    <w:name w:val="heading 6"/>
    <w:basedOn w:val="1"/>
    <w:next w:val="1"/>
    <w:link w:val="56"/>
    <w:unhideWhenUsed/>
    <w:qFormat/>
    <w:uiPriority w:val="9"/>
    <w:pPr>
      <w:widowControl/>
      <w:spacing w:before="240" w:after="60"/>
      <w:jc w:val="left"/>
      <w:outlineLvl w:val="5"/>
    </w:pPr>
    <w:rPr>
      <w:rFonts w:ascii="Calibri" w:hAnsi="Calibri" w:eastAsia="仿宋_GB2312" w:cs="Times New Roman"/>
      <w:b/>
      <w:bCs/>
      <w:kern w:val="0"/>
      <w:sz w:val="22"/>
      <w:lang w:eastAsia="en-US" w:bidi="en-US"/>
    </w:rPr>
  </w:style>
  <w:style w:type="paragraph" w:styleId="9">
    <w:name w:val="heading 7"/>
    <w:basedOn w:val="1"/>
    <w:next w:val="1"/>
    <w:link w:val="57"/>
    <w:unhideWhenUsed/>
    <w:qFormat/>
    <w:uiPriority w:val="9"/>
    <w:pPr>
      <w:widowControl/>
      <w:spacing w:before="240" w:after="60"/>
      <w:jc w:val="left"/>
      <w:outlineLvl w:val="6"/>
    </w:pPr>
    <w:rPr>
      <w:rFonts w:ascii="Calibri" w:hAnsi="Calibri" w:eastAsia="仿宋_GB2312" w:cs="Times New Roman"/>
      <w:kern w:val="0"/>
      <w:sz w:val="24"/>
      <w:szCs w:val="24"/>
      <w:lang w:eastAsia="en-US" w:bidi="en-US"/>
    </w:rPr>
  </w:style>
  <w:style w:type="paragraph" w:styleId="10">
    <w:name w:val="heading 8"/>
    <w:basedOn w:val="1"/>
    <w:next w:val="1"/>
    <w:link w:val="58"/>
    <w:unhideWhenUsed/>
    <w:qFormat/>
    <w:uiPriority w:val="9"/>
    <w:pPr>
      <w:widowControl/>
      <w:spacing w:before="240" w:after="60"/>
      <w:jc w:val="left"/>
      <w:outlineLvl w:val="7"/>
    </w:pPr>
    <w:rPr>
      <w:rFonts w:ascii="Calibri" w:hAnsi="Calibri" w:eastAsia="仿宋_GB2312" w:cs="Times New Roman"/>
      <w:i/>
      <w:iCs/>
      <w:kern w:val="0"/>
      <w:sz w:val="24"/>
      <w:szCs w:val="24"/>
      <w:lang w:eastAsia="en-US" w:bidi="en-US"/>
    </w:rPr>
  </w:style>
  <w:style w:type="paragraph" w:styleId="11">
    <w:name w:val="heading 9"/>
    <w:basedOn w:val="1"/>
    <w:next w:val="1"/>
    <w:link w:val="59"/>
    <w:unhideWhenUsed/>
    <w:qFormat/>
    <w:uiPriority w:val="9"/>
    <w:pPr>
      <w:widowControl/>
      <w:spacing w:before="240" w:after="60"/>
      <w:jc w:val="left"/>
      <w:outlineLvl w:val="8"/>
    </w:pPr>
    <w:rPr>
      <w:rFonts w:ascii="Cambria" w:hAnsi="Cambria" w:eastAsia="仿宋_GB2312" w:cs="Times New Roman"/>
      <w:kern w:val="0"/>
      <w:sz w:val="22"/>
      <w:lang w:eastAsia="en-US" w:bidi="en-US"/>
    </w:rPr>
  </w:style>
  <w:style w:type="character" w:default="1" w:styleId="44">
    <w:name w:val="Default Paragraph Font"/>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rPr>
      <w:rFonts w:ascii="Calibri" w:hAnsi="Calibri" w:eastAsia="仿宋_GB2312" w:cs="Times New Roman"/>
    </w:rPr>
  </w:style>
  <w:style w:type="paragraph" w:styleId="12">
    <w:name w:val="toc 7"/>
    <w:basedOn w:val="1"/>
    <w:next w:val="1"/>
    <w:qFormat/>
    <w:uiPriority w:val="39"/>
    <w:pPr>
      <w:ind w:left="2520" w:leftChars="1200"/>
    </w:pPr>
    <w:rPr>
      <w:rFonts w:ascii="Times New Roman" w:hAnsi="Times New Roman" w:eastAsia="仿宋_GB2312" w:cs="Times New Roman"/>
      <w:szCs w:val="24"/>
    </w:rPr>
  </w:style>
  <w:style w:type="paragraph" w:styleId="13">
    <w:name w:val="caption"/>
    <w:basedOn w:val="1"/>
    <w:next w:val="1"/>
    <w:qFormat/>
    <w:uiPriority w:val="0"/>
    <w:rPr>
      <w:rFonts w:ascii="Cambria" w:hAnsi="Cambria" w:eastAsia="黑体" w:cs="黑体"/>
      <w:sz w:val="20"/>
      <w:szCs w:val="20"/>
    </w:rPr>
  </w:style>
  <w:style w:type="paragraph" w:styleId="14">
    <w:name w:val="List Bullet"/>
    <w:basedOn w:val="1"/>
    <w:qFormat/>
    <w:uiPriority w:val="0"/>
    <w:pPr>
      <w:tabs>
        <w:tab w:val="left" w:pos="360"/>
      </w:tabs>
      <w:ind w:left="360" w:hanging="200" w:hangingChars="200"/>
    </w:pPr>
    <w:rPr>
      <w:rFonts w:ascii="Times New Roman" w:hAnsi="Times New Roman" w:eastAsia="仿宋_GB2312" w:cs="宋体"/>
      <w:szCs w:val="21"/>
    </w:rPr>
  </w:style>
  <w:style w:type="paragraph" w:styleId="15">
    <w:name w:val="Document Map"/>
    <w:basedOn w:val="1"/>
    <w:link w:val="64"/>
    <w:qFormat/>
    <w:uiPriority w:val="0"/>
    <w:pPr>
      <w:widowControl/>
      <w:jc w:val="left"/>
    </w:pPr>
    <w:rPr>
      <w:rFonts w:ascii="宋体" w:hAnsi="Times New Roman" w:eastAsia="仿宋_GB2312" w:cs="Times New Roman"/>
      <w:sz w:val="18"/>
      <w:szCs w:val="18"/>
    </w:rPr>
  </w:style>
  <w:style w:type="paragraph" w:styleId="16">
    <w:name w:val="annotation text"/>
    <w:basedOn w:val="1"/>
    <w:link w:val="60"/>
    <w:unhideWhenUsed/>
    <w:qFormat/>
    <w:uiPriority w:val="0"/>
    <w:pPr>
      <w:jc w:val="left"/>
    </w:pPr>
    <w:rPr>
      <w:rFonts w:ascii="Times New Roman" w:hAnsi="Times New Roman" w:eastAsia="仿宋_GB2312" w:cs="Times New Roman"/>
      <w:sz w:val="32"/>
    </w:rPr>
  </w:style>
  <w:style w:type="paragraph" w:styleId="17">
    <w:name w:val="Body Text"/>
    <w:basedOn w:val="1"/>
    <w:link w:val="62"/>
    <w:unhideWhenUsed/>
    <w:qFormat/>
    <w:uiPriority w:val="0"/>
    <w:pPr>
      <w:spacing w:after="120"/>
    </w:pPr>
    <w:rPr>
      <w:rFonts w:ascii="Times New Roman" w:hAnsi="Times New Roman" w:eastAsia="仿宋_GB2312" w:cs="Times New Roman"/>
      <w:sz w:val="32"/>
    </w:rPr>
  </w:style>
  <w:style w:type="paragraph" w:styleId="18">
    <w:name w:val="Body Text Indent"/>
    <w:basedOn w:val="1"/>
    <w:link w:val="65"/>
    <w:qFormat/>
    <w:uiPriority w:val="0"/>
    <w:pPr>
      <w:spacing w:line="360" w:lineRule="auto"/>
      <w:ind w:firstLine="570"/>
    </w:pPr>
    <w:rPr>
      <w:rFonts w:ascii="宋体" w:hAnsi="Times New Roman" w:eastAsia="仿宋_GB2312" w:cs="Times New Roman"/>
      <w:kern w:val="0"/>
      <w:sz w:val="20"/>
      <w:szCs w:val="20"/>
    </w:rPr>
  </w:style>
  <w:style w:type="paragraph" w:styleId="19">
    <w:name w:val="List 2"/>
    <w:basedOn w:val="1"/>
    <w:qFormat/>
    <w:uiPriority w:val="0"/>
    <w:pPr>
      <w:widowControl/>
      <w:spacing w:before="100" w:beforeAutospacing="1" w:after="100" w:afterAutospacing="1"/>
      <w:jc w:val="left"/>
    </w:pPr>
    <w:rPr>
      <w:rFonts w:ascii="宋体" w:hAnsi="宋体" w:eastAsia="仿宋_GB2312" w:cs="宋体"/>
      <w:sz w:val="24"/>
      <w:szCs w:val="24"/>
    </w:rPr>
  </w:style>
  <w:style w:type="paragraph" w:styleId="20">
    <w:name w:val="toc 5"/>
    <w:basedOn w:val="1"/>
    <w:next w:val="1"/>
    <w:qFormat/>
    <w:uiPriority w:val="39"/>
    <w:pPr>
      <w:ind w:left="1680" w:leftChars="800"/>
    </w:pPr>
    <w:rPr>
      <w:rFonts w:ascii="Times New Roman" w:hAnsi="Times New Roman" w:eastAsia="仿宋_GB2312" w:cs="Times New Roman"/>
      <w:szCs w:val="24"/>
    </w:rPr>
  </w:style>
  <w:style w:type="paragraph" w:styleId="21">
    <w:name w:val="toc 3"/>
    <w:basedOn w:val="1"/>
    <w:next w:val="1"/>
    <w:qFormat/>
    <w:uiPriority w:val="39"/>
    <w:pPr>
      <w:widowControl/>
      <w:ind w:left="840" w:leftChars="400"/>
      <w:jc w:val="left"/>
    </w:pPr>
    <w:rPr>
      <w:rFonts w:ascii="Calibri" w:hAnsi="Calibri" w:eastAsia="仿宋_GB2312" w:cs="Times New Roman"/>
      <w:kern w:val="0"/>
      <w:sz w:val="24"/>
      <w:szCs w:val="24"/>
      <w:lang w:eastAsia="en-US" w:bidi="en-US"/>
    </w:rPr>
  </w:style>
  <w:style w:type="paragraph" w:styleId="22">
    <w:name w:val="Plain Text"/>
    <w:basedOn w:val="1"/>
    <w:link w:val="66"/>
    <w:qFormat/>
    <w:uiPriority w:val="0"/>
    <w:rPr>
      <w:rFonts w:ascii="宋体" w:hAnsi="Courier New" w:eastAsia="仿宋_GB2312" w:cs="Courier New"/>
      <w:szCs w:val="21"/>
    </w:rPr>
  </w:style>
  <w:style w:type="paragraph" w:styleId="23">
    <w:name w:val="toc 8"/>
    <w:basedOn w:val="1"/>
    <w:next w:val="1"/>
    <w:qFormat/>
    <w:uiPriority w:val="39"/>
    <w:pPr>
      <w:ind w:left="2940" w:leftChars="1400"/>
    </w:pPr>
    <w:rPr>
      <w:rFonts w:ascii="Times New Roman" w:hAnsi="Times New Roman" w:eastAsia="仿宋_GB2312" w:cs="Times New Roman"/>
      <w:szCs w:val="24"/>
    </w:rPr>
  </w:style>
  <w:style w:type="paragraph" w:styleId="24">
    <w:name w:val="Date"/>
    <w:basedOn w:val="1"/>
    <w:next w:val="1"/>
    <w:link w:val="67"/>
    <w:qFormat/>
    <w:uiPriority w:val="0"/>
    <w:pPr>
      <w:ind w:left="100" w:leftChars="2500"/>
    </w:pPr>
    <w:rPr>
      <w:rFonts w:ascii="Times New Roman" w:hAnsi="Times New Roman" w:eastAsia="仿宋_GB2312" w:cs="Times New Roman"/>
      <w:kern w:val="0"/>
      <w:sz w:val="20"/>
      <w:szCs w:val="20"/>
    </w:rPr>
  </w:style>
  <w:style w:type="paragraph" w:styleId="25">
    <w:name w:val="Body Text Indent 2"/>
    <w:basedOn w:val="1"/>
    <w:link w:val="68"/>
    <w:qFormat/>
    <w:uiPriority w:val="0"/>
    <w:pPr>
      <w:spacing w:line="360" w:lineRule="auto"/>
      <w:ind w:firstLine="420" w:firstLineChars="200"/>
    </w:pPr>
    <w:rPr>
      <w:rFonts w:ascii="宋体" w:hAnsi="Times New Roman" w:eastAsia="仿宋_GB2312" w:cs="Times New Roman"/>
      <w:kern w:val="0"/>
      <w:sz w:val="20"/>
      <w:szCs w:val="20"/>
    </w:rPr>
  </w:style>
  <w:style w:type="paragraph" w:styleId="26">
    <w:name w:val="Balloon Text"/>
    <w:basedOn w:val="1"/>
    <w:link w:val="69"/>
    <w:qFormat/>
    <w:uiPriority w:val="0"/>
    <w:rPr>
      <w:rFonts w:ascii="Times New Roman" w:hAnsi="Times New Roman" w:eastAsia="仿宋_GB2312" w:cs="Times New Roman"/>
      <w:sz w:val="18"/>
      <w:szCs w:val="18"/>
    </w:rPr>
  </w:style>
  <w:style w:type="paragraph" w:styleId="27">
    <w:name w:val="footer"/>
    <w:basedOn w:val="1"/>
    <w:link w:val="70"/>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29">
    <w:name w:val="toc 1"/>
    <w:basedOn w:val="1"/>
    <w:next w:val="1"/>
    <w:qFormat/>
    <w:uiPriority w:val="39"/>
    <w:rPr>
      <w:rFonts w:ascii="Times New Roman" w:hAnsi="Times New Roman" w:eastAsia="仿宋_GB2312" w:cs="Times New Roman"/>
      <w:szCs w:val="24"/>
    </w:rPr>
  </w:style>
  <w:style w:type="paragraph" w:styleId="30">
    <w:name w:val="toc 4"/>
    <w:basedOn w:val="1"/>
    <w:next w:val="1"/>
    <w:qFormat/>
    <w:uiPriority w:val="39"/>
    <w:pPr>
      <w:ind w:left="1260" w:leftChars="600"/>
    </w:pPr>
    <w:rPr>
      <w:rFonts w:ascii="Times New Roman" w:hAnsi="Times New Roman" w:eastAsia="仿宋_GB2312" w:cs="Times New Roman"/>
      <w:szCs w:val="24"/>
    </w:rPr>
  </w:style>
  <w:style w:type="paragraph" w:styleId="31">
    <w:name w:val="Subtitle"/>
    <w:basedOn w:val="1"/>
    <w:next w:val="1"/>
    <w:link w:val="73"/>
    <w:qFormat/>
    <w:uiPriority w:val="0"/>
    <w:pPr>
      <w:spacing w:after="60"/>
      <w:jc w:val="center"/>
      <w:outlineLvl w:val="1"/>
    </w:pPr>
    <w:rPr>
      <w:rFonts w:ascii="Cambria" w:hAnsi="Cambria" w:eastAsia="仿宋_GB2312" w:cs="Times New Roman"/>
      <w:sz w:val="24"/>
      <w:szCs w:val="24"/>
    </w:rPr>
  </w:style>
  <w:style w:type="paragraph" w:styleId="32">
    <w:name w:val="toc 6"/>
    <w:basedOn w:val="1"/>
    <w:next w:val="1"/>
    <w:qFormat/>
    <w:uiPriority w:val="39"/>
    <w:pPr>
      <w:ind w:left="2100" w:leftChars="1000"/>
    </w:pPr>
    <w:rPr>
      <w:rFonts w:ascii="Times New Roman" w:hAnsi="Times New Roman" w:eastAsia="仿宋_GB2312" w:cs="Times New Roman"/>
      <w:szCs w:val="24"/>
    </w:rPr>
  </w:style>
  <w:style w:type="paragraph" w:styleId="33">
    <w:name w:val="Body Text Indent 3"/>
    <w:basedOn w:val="1"/>
    <w:link w:val="74"/>
    <w:unhideWhenUsed/>
    <w:qFormat/>
    <w:uiPriority w:val="0"/>
    <w:pPr>
      <w:spacing w:after="120"/>
      <w:ind w:left="420" w:leftChars="200"/>
    </w:pPr>
    <w:rPr>
      <w:rFonts w:ascii="Calibri" w:hAnsi="Calibri" w:eastAsia="仿宋_GB2312" w:cs="Times New Roman"/>
      <w:sz w:val="16"/>
      <w:szCs w:val="16"/>
    </w:rPr>
  </w:style>
  <w:style w:type="paragraph" w:styleId="34">
    <w:name w:val="toc 2"/>
    <w:basedOn w:val="1"/>
    <w:next w:val="1"/>
    <w:qFormat/>
    <w:uiPriority w:val="39"/>
    <w:pPr>
      <w:ind w:left="420" w:leftChars="200"/>
    </w:pPr>
    <w:rPr>
      <w:rFonts w:ascii="Times New Roman" w:hAnsi="Times New Roman" w:eastAsia="仿宋_GB2312" w:cs="宋体"/>
      <w:szCs w:val="21"/>
    </w:rPr>
  </w:style>
  <w:style w:type="paragraph" w:styleId="35">
    <w:name w:val="toc 9"/>
    <w:basedOn w:val="1"/>
    <w:next w:val="1"/>
    <w:qFormat/>
    <w:uiPriority w:val="39"/>
    <w:pPr>
      <w:ind w:left="3360" w:leftChars="1600"/>
    </w:pPr>
    <w:rPr>
      <w:rFonts w:ascii="Times New Roman" w:hAnsi="Times New Roman" w:eastAsia="仿宋_GB2312" w:cs="Times New Roman"/>
      <w:szCs w:val="24"/>
    </w:rPr>
  </w:style>
  <w:style w:type="paragraph" w:styleId="36">
    <w:name w:val="HTML Preformatted"/>
    <w:basedOn w:val="1"/>
    <w:link w:val="7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仿宋_GB2312" w:cs="Arial"/>
      <w:kern w:val="0"/>
      <w:sz w:val="24"/>
      <w:szCs w:val="24"/>
    </w:rPr>
  </w:style>
  <w:style w:type="paragraph" w:styleId="37">
    <w:name w:val="Normal (Web)"/>
    <w:basedOn w:val="1"/>
    <w:qFormat/>
    <w:uiPriority w:val="99"/>
    <w:pPr>
      <w:widowControl/>
      <w:spacing w:before="100" w:beforeAutospacing="1" w:after="100" w:afterAutospacing="1"/>
      <w:jc w:val="left"/>
    </w:pPr>
    <w:rPr>
      <w:rFonts w:ascii="宋体" w:hAnsi="宋体" w:eastAsia="仿宋_GB2312" w:cs="宋体"/>
      <w:kern w:val="0"/>
      <w:sz w:val="24"/>
      <w:szCs w:val="24"/>
    </w:rPr>
  </w:style>
  <w:style w:type="paragraph" w:styleId="38">
    <w:name w:val="Title"/>
    <w:basedOn w:val="1"/>
    <w:next w:val="1"/>
    <w:link w:val="76"/>
    <w:qFormat/>
    <w:uiPriority w:val="0"/>
    <w:pPr>
      <w:spacing w:before="240" w:after="60"/>
      <w:jc w:val="center"/>
      <w:outlineLvl w:val="0"/>
    </w:pPr>
    <w:rPr>
      <w:rFonts w:ascii="Cambria" w:hAnsi="Times New Roman" w:eastAsia="仿宋_GB2312" w:cs="Times New Roman"/>
      <w:b/>
      <w:bCs/>
      <w:kern w:val="0"/>
      <w:sz w:val="32"/>
      <w:szCs w:val="32"/>
    </w:rPr>
  </w:style>
  <w:style w:type="paragraph" w:styleId="39">
    <w:name w:val="annotation subject"/>
    <w:basedOn w:val="16"/>
    <w:next w:val="16"/>
    <w:link w:val="61"/>
    <w:qFormat/>
    <w:uiPriority w:val="0"/>
    <w:rPr>
      <w:b/>
      <w:bCs/>
      <w:kern w:val="0"/>
      <w:sz w:val="21"/>
      <w:szCs w:val="21"/>
    </w:rPr>
  </w:style>
  <w:style w:type="paragraph" w:styleId="40">
    <w:name w:val="Body Text First Indent"/>
    <w:basedOn w:val="17"/>
    <w:link w:val="63"/>
    <w:qFormat/>
    <w:uiPriority w:val="0"/>
    <w:pPr>
      <w:ind w:firstLine="420" w:firstLineChars="100"/>
    </w:pPr>
    <w:rPr>
      <w:rFonts w:ascii="Calibri" w:hAnsi="Calibri"/>
      <w:sz w:val="21"/>
    </w:rPr>
  </w:style>
  <w:style w:type="paragraph" w:styleId="41">
    <w:name w:val="Body Text First Indent 2"/>
    <w:basedOn w:val="1"/>
    <w:link w:val="71"/>
    <w:qFormat/>
    <w:uiPriority w:val="0"/>
    <w:pPr>
      <w:widowControl/>
      <w:spacing w:before="100" w:beforeAutospacing="1" w:after="100" w:afterAutospacing="1"/>
      <w:jc w:val="left"/>
    </w:pPr>
    <w:rPr>
      <w:rFonts w:ascii="宋体" w:hAnsi="Times New Roman" w:eastAsia="仿宋_GB2312" w:cs="Times New Roman"/>
      <w:kern w:val="0"/>
      <w:sz w:val="20"/>
      <w:szCs w:val="20"/>
    </w:rPr>
  </w:style>
  <w:style w:type="table" w:styleId="43">
    <w:name w:val="Table Grid"/>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rFonts w:cs="Times New Roman"/>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20"/>
    <w:rPr>
      <w:rFonts w:ascii="Calibri" w:hAnsi="Calibri"/>
      <w:b/>
      <w:i/>
      <w:iCs/>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字符"/>
    <w:basedOn w:val="44"/>
    <w:link w:val="3"/>
    <w:qFormat/>
    <w:uiPriority w:val="0"/>
    <w:rPr>
      <w:rFonts w:ascii="Calibri" w:hAnsi="Calibri" w:eastAsia="黑体" w:cs="Times New Roman"/>
      <w:bCs/>
      <w:kern w:val="44"/>
      <w:sz w:val="32"/>
      <w:szCs w:val="44"/>
    </w:rPr>
  </w:style>
  <w:style w:type="character" w:customStyle="1" w:styleId="52">
    <w:name w:val="标题 2 字符"/>
    <w:basedOn w:val="44"/>
    <w:link w:val="4"/>
    <w:qFormat/>
    <w:uiPriority w:val="0"/>
    <w:rPr>
      <w:rFonts w:ascii="Arial" w:hAnsi="Arial" w:eastAsia="楷体_GB2312" w:cs="Times New Roman"/>
      <w:bCs/>
      <w:sz w:val="32"/>
      <w:szCs w:val="32"/>
    </w:rPr>
  </w:style>
  <w:style w:type="character" w:customStyle="1" w:styleId="53">
    <w:name w:val="标题 3 字符"/>
    <w:basedOn w:val="44"/>
    <w:link w:val="5"/>
    <w:qFormat/>
    <w:uiPriority w:val="9"/>
    <w:rPr>
      <w:rFonts w:ascii="宋体" w:hAnsi="宋体" w:eastAsia="方正小标宋_GBK" w:cs="宋体"/>
      <w:bCs/>
      <w:kern w:val="0"/>
      <w:sz w:val="32"/>
      <w:szCs w:val="27"/>
    </w:rPr>
  </w:style>
  <w:style w:type="character" w:customStyle="1" w:styleId="54">
    <w:name w:val="标题 4 字符"/>
    <w:basedOn w:val="44"/>
    <w:link w:val="6"/>
    <w:qFormat/>
    <w:uiPriority w:val="9"/>
    <w:rPr>
      <w:rFonts w:ascii="Calibri" w:hAnsi="Calibri" w:eastAsia="仿宋_GB2312" w:cs="Times New Roman"/>
      <w:b/>
      <w:bCs/>
      <w:kern w:val="0"/>
      <w:sz w:val="28"/>
      <w:szCs w:val="28"/>
      <w:lang w:eastAsia="en-US" w:bidi="en-US"/>
    </w:rPr>
  </w:style>
  <w:style w:type="character" w:customStyle="1" w:styleId="55">
    <w:name w:val="标题 5 字符"/>
    <w:basedOn w:val="44"/>
    <w:link w:val="7"/>
    <w:qFormat/>
    <w:uiPriority w:val="9"/>
    <w:rPr>
      <w:rFonts w:ascii="Calibri" w:hAnsi="Calibri" w:eastAsia="仿宋_GB2312" w:cs="Times New Roman"/>
      <w:b/>
      <w:bCs/>
      <w:i/>
      <w:iCs/>
      <w:kern w:val="0"/>
      <w:sz w:val="26"/>
      <w:szCs w:val="26"/>
      <w:lang w:eastAsia="en-US" w:bidi="en-US"/>
    </w:rPr>
  </w:style>
  <w:style w:type="character" w:customStyle="1" w:styleId="56">
    <w:name w:val="标题 6 字符"/>
    <w:basedOn w:val="44"/>
    <w:link w:val="8"/>
    <w:qFormat/>
    <w:uiPriority w:val="9"/>
    <w:rPr>
      <w:rFonts w:ascii="Calibri" w:hAnsi="Calibri" w:eastAsia="仿宋_GB2312" w:cs="Times New Roman"/>
      <w:b/>
      <w:bCs/>
      <w:kern w:val="0"/>
      <w:sz w:val="22"/>
      <w:lang w:eastAsia="en-US" w:bidi="en-US"/>
    </w:rPr>
  </w:style>
  <w:style w:type="character" w:customStyle="1" w:styleId="57">
    <w:name w:val="标题 7 字符"/>
    <w:basedOn w:val="44"/>
    <w:link w:val="9"/>
    <w:qFormat/>
    <w:uiPriority w:val="9"/>
    <w:rPr>
      <w:rFonts w:ascii="Calibri" w:hAnsi="Calibri" w:eastAsia="仿宋_GB2312" w:cs="Times New Roman"/>
      <w:kern w:val="0"/>
      <w:sz w:val="24"/>
      <w:szCs w:val="24"/>
      <w:lang w:eastAsia="en-US" w:bidi="en-US"/>
    </w:rPr>
  </w:style>
  <w:style w:type="character" w:customStyle="1" w:styleId="58">
    <w:name w:val="标题 8 字符"/>
    <w:basedOn w:val="44"/>
    <w:link w:val="10"/>
    <w:qFormat/>
    <w:uiPriority w:val="9"/>
    <w:rPr>
      <w:rFonts w:ascii="Calibri" w:hAnsi="Calibri" w:eastAsia="仿宋_GB2312" w:cs="Times New Roman"/>
      <w:i/>
      <w:iCs/>
      <w:kern w:val="0"/>
      <w:sz w:val="24"/>
      <w:szCs w:val="24"/>
      <w:lang w:eastAsia="en-US" w:bidi="en-US"/>
    </w:rPr>
  </w:style>
  <w:style w:type="character" w:customStyle="1" w:styleId="59">
    <w:name w:val="标题 9 字符"/>
    <w:basedOn w:val="44"/>
    <w:link w:val="11"/>
    <w:qFormat/>
    <w:uiPriority w:val="9"/>
    <w:rPr>
      <w:rFonts w:ascii="Cambria" w:hAnsi="Cambria" w:eastAsia="仿宋_GB2312" w:cs="Times New Roman"/>
      <w:kern w:val="0"/>
      <w:sz w:val="22"/>
      <w:lang w:eastAsia="en-US" w:bidi="en-US"/>
    </w:rPr>
  </w:style>
  <w:style w:type="character" w:customStyle="1" w:styleId="60">
    <w:name w:val="批注文字 字符"/>
    <w:basedOn w:val="44"/>
    <w:link w:val="16"/>
    <w:qFormat/>
    <w:uiPriority w:val="0"/>
    <w:rPr>
      <w:rFonts w:ascii="Times New Roman" w:hAnsi="Times New Roman" w:eastAsia="仿宋_GB2312" w:cs="Times New Roman"/>
      <w:sz w:val="32"/>
    </w:rPr>
  </w:style>
  <w:style w:type="character" w:customStyle="1" w:styleId="61">
    <w:name w:val="批注主题 字符"/>
    <w:basedOn w:val="60"/>
    <w:link w:val="39"/>
    <w:qFormat/>
    <w:uiPriority w:val="0"/>
    <w:rPr>
      <w:rFonts w:ascii="Times New Roman" w:hAnsi="Times New Roman" w:eastAsia="仿宋_GB2312" w:cs="Times New Roman"/>
      <w:b/>
      <w:bCs/>
      <w:kern w:val="0"/>
      <w:sz w:val="32"/>
      <w:szCs w:val="21"/>
    </w:rPr>
  </w:style>
  <w:style w:type="character" w:customStyle="1" w:styleId="62">
    <w:name w:val="正文文本 字符"/>
    <w:basedOn w:val="44"/>
    <w:link w:val="17"/>
    <w:qFormat/>
    <w:uiPriority w:val="0"/>
    <w:rPr>
      <w:rFonts w:ascii="Times New Roman" w:hAnsi="Times New Roman" w:eastAsia="仿宋_GB2312" w:cs="Times New Roman"/>
      <w:sz w:val="32"/>
    </w:rPr>
  </w:style>
  <w:style w:type="character" w:customStyle="1" w:styleId="63">
    <w:name w:val="正文文本首行缩进 字符"/>
    <w:basedOn w:val="62"/>
    <w:link w:val="40"/>
    <w:qFormat/>
    <w:uiPriority w:val="0"/>
    <w:rPr>
      <w:rFonts w:ascii="Calibri" w:hAnsi="Calibri" w:eastAsia="仿宋_GB2312" w:cs="Times New Roman"/>
      <w:sz w:val="32"/>
    </w:rPr>
  </w:style>
  <w:style w:type="character" w:customStyle="1" w:styleId="64">
    <w:name w:val="文档结构图 字符"/>
    <w:basedOn w:val="44"/>
    <w:link w:val="15"/>
    <w:qFormat/>
    <w:uiPriority w:val="0"/>
    <w:rPr>
      <w:rFonts w:ascii="宋体" w:hAnsi="Times New Roman" w:eastAsia="仿宋_GB2312" w:cs="Times New Roman"/>
      <w:sz w:val="18"/>
      <w:szCs w:val="18"/>
    </w:rPr>
  </w:style>
  <w:style w:type="character" w:customStyle="1" w:styleId="65">
    <w:name w:val="正文文本缩进 字符"/>
    <w:basedOn w:val="44"/>
    <w:link w:val="18"/>
    <w:qFormat/>
    <w:uiPriority w:val="0"/>
    <w:rPr>
      <w:rFonts w:ascii="宋体" w:hAnsi="Times New Roman" w:eastAsia="仿宋_GB2312" w:cs="Times New Roman"/>
      <w:kern w:val="0"/>
      <w:sz w:val="20"/>
      <w:szCs w:val="20"/>
    </w:rPr>
  </w:style>
  <w:style w:type="character" w:customStyle="1" w:styleId="66">
    <w:name w:val="纯文本 字符"/>
    <w:basedOn w:val="44"/>
    <w:link w:val="22"/>
    <w:qFormat/>
    <w:uiPriority w:val="0"/>
    <w:rPr>
      <w:rFonts w:ascii="宋体" w:hAnsi="Courier New" w:eastAsia="仿宋_GB2312" w:cs="Courier New"/>
      <w:szCs w:val="21"/>
    </w:rPr>
  </w:style>
  <w:style w:type="character" w:customStyle="1" w:styleId="67">
    <w:name w:val="日期 字符"/>
    <w:basedOn w:val="44"/>
    <w:link w:val="24"/>
    <w:qFormat/>
    <w:uiPriority w:val="0"/>
    <w:rPr>
      <w:rFonts w:ascii="Times New Roman" w:hAnsi="Times New Roman" w:eastAsia="仿宋_GB2312" w:cs="Times New Roman"/>
      <w:kern w:val="0"/>
      <w:sz w:val="20"/>
      <w:szCs w:val="20"/>
    </w:rPr>
  </w:style>
  <w:style w:type="character" w:customStyle="1" w:styleId="68">
    <w:name w:val="正文文本缩进 2 字符"/>
    <w:basedOn w:val="44"/>
    <w:link w:val="25"/>
    <w:qFormat/>
    <w:uiPriority w:val="0"/>
    <w:rPr>
      <w:rFonts w:ascii="宋体" w:hAnsi="Times New Roman" w:eastAsia="仿宋_GB2312" w:cs="Times New Roman"/>
      <w:kern w:val="0"/>
      <w:sz w:val="20"/>
      <w:szCs w:val="20"/>
    </w:rPr>
  </w:style>
  <w:style w:type="character" w:customStyle="1" w:styleId="69">
    <w:name w:val="批注框文本 字符"/>
    <w:basedOn w:val="44"/>
    <w:link w:val="26"/>
    <w:qFormat/>
    <w:uiPriority w:val="0"/>
    <w:rPr>
      <w:rFonts w:ascii="Times New Roman" w:hAnsi="Times New Roman" w:eastAsia="仿宋_GB2312" w:cs="Times New Roman"/>
      <w:sz w:val="18"/>
      <w:szCs w:val="18"/>
    </w:rPr>
  </w:style>
  <w:style w:type="character" w:customStyle="1" w:styleId="70">
    <w:name w:val="页脚 字符"/>
    <w:basedOn w:val="44"/>
    <w:link w:val="27"/>
    <w:qFormat/>
    <w:uiPriority w:val="99"/>
    <w:rPr>
      <w:rFonts w:ascii="Times New Roman" w:hAnsi="Times New Roman" w:eastAsia="仿宋_GB2312" w:cs="Times New Roman"/>
      <w:sz w:val="18"/>
      <w:szCs w:val="18"/>
    </w:rPr>
  </w:style>
  <w:style w:type="character" w:customStyle="1" w:styleId="71">
    <w:name w:val="正文文本首行缩进 2 字符"/>
    <w:basedOn w:val="65"/>
    <w:link w:val="41"/>
    <w:qFormat/>
    <w:uiPriority w:val="0"/>
    <w:rPr>
      <w:rFonts w:ascii="宋体" w:hAnsi="Times New Roman" w:eastAsia="仿宋_GB2312" w:cs="Times New Roman"/>
      <w:kern w:val="0"/>
      <w:sz w:val="20"/>
      <w:szCs w:val="20"/>
    </w:rPr>
  </w:style>
  <w:style w:type="character" w:customStyle="1" w:styleId="72">
    <w:name w:val="页眉 字符"/>
    <w:basedOn w:val="44"/>
    <w:link w:val="28"/>
    <w:qFormat/>
    <w:uiPriority w:val="99"/>
    <w:rPr>
      <w:rFonts w:ascii="Times New Roman" w:hAnsi="Times New Roman" w:eastAsia="仿宋_GB2312" w:cs="Times New Roman"/>
      <w:sz w:val="18"/>
      <w:szCs w:val="18"/>
    </w:rPr>
  </w:style>
  <w:style w:type="character" w:customStyle="1" w:styleId="73">
    <w:name w:val="副标题 字符"/>
    <w:basedOn w:val="44"/>
    <w:link w:val="31"/>
    <w:qFormat/>
    <w:uiPriority w:val="0"/>
    <w:rPr>
      <w:rFonts w:ascii="Cambria" w:hAnsi="Cambria" w:eastAsia="仿宋_GB2312" w:cs="Times New Roman"/>
      <w:sz w:val="24"/>
      <w:szCs w:val="24"/>
    </w:rPr>
  </w:style>
  <w:style w:type="character" w:customStyle="1" w:styleId="74">
    <w:name w:val="正文文本缩进 3 字符"/>
    <w:basedOn w:val="44"/>
    <w:link w:val="33"/>
    <w:qFormat/>
    <w:uiPriority w:val="0"/>
    <w:rPr>
      <w:rFonts w:ascii="Calibri" w:hAnsi="Calibri" w:eastAsia="仿宋_GB2312" w:cs="Times New Roman"/>
      <w:sz w:val="16"/>
      <w:szCs w:val="16"/>
    </w:rPr>
  </w:style>
  <w:style w:type="character" w:customStyle="1" w:styleId="75">
    <w:name w:val="HTML 预设格式 字符"/>
    <w:basedOn w:val="44"/>
    <w:link w:val="36"/>
    <w:qFormat/>
    <w:uiPriority w:val="99"/>
    <w:rPr>
      <w:rFonts w:ascii="Arial" w:hAnsi="Arial" w:eastAsia="仿宋_GB2312" w:cs="Arial"/>
      <w:kern w:val="0"/>
      <w:sz w:val="24"/>
      <w:szCs w:val="24"/>
    </w:rPr>
  </w:style>
  <w:style w:type="character" w:customStyle="1" w:styleId="76">
    <w:name w:val="标题 字符"/>
    <w:basedOn w:val="44"/>
    <w:link w:val="38"/>
    <w:qFormat/>
    <w:uiPriority w:val="0"/>
    <w:rPr>
      <w:rFonts w:ascii="Cambria" w:hAnsi="Times New Roman" w:eastAsia="仿宋_GB2312" w:cs="Times New Roman"/>
      <w:b/>
      <w:bCs/>
      <w:kern w:val="0"/>
      <w:sz w:val="32"/>
      <w:szCs w:val="32"/>
    </w:rPr>
  </w:style>
  <w:style w:type="paragraph" w:customStyle="1" w:styleId="77">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styleId="78">
    <w:name w:val="List Paragraph"/>
    <w:basedOn w:val="1"/>
    <w:unhideWhenUsed/>
    <w:qFormat/>
    <w:uiPriority w:val="99"/>
    <w:pPr>
      <w:ind w:firstLine="420" w:firstLineChars="200"/>
    </w:pPr>
    <w:rPr>
      <w:rFonts w:ascii="Times New Roman" w:hAnsi="Times New Roman" w:eastAsia="仿宋_GB2312" w:cs="Times New Roman"/>
      <w:szCs w:val="20"/>
    </w:rPr>
  </w:style>
  <w:style w:type="paragraph" w:customStyle="1" w:styleId="79">
    <w:name w:val="样式5"/>
    <w:basedOn w:val="1"/>
    <w:qFormat/>
    <w:uiPriority w:val="0"/>
    <w:pPr>
      <w:snapToGrid w:val="0"/>
      <w:spacing w:line="310" w:lineRule="atLeast"/>
      <w:ind w:firstLine="425"/>
    </w:pPr>
    <w:rPr>
      <w:rFonts w:ascii="Arial" w:hAnsi="Arial" w:eastAsia="黑体" w:cs="黑体"/>
      <w:szCs w:val="21"/>
    </w:rPr>
  </w:style>
  <w:style w:type="paragraph" w:customStyle="1" w:styleId="80">
    <w:name w:val="List Paragraph_dd38936f-b09b-4da9-acda-5ae7f29bfcd5"/>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81">
    <w:name w:val="Char Char"/>
    <w:basedOn w:val="1"/>
    <w:qFormat/>
    <w:uiPriority w:val="0"/>
    <w:pPr>
      <w:widowControl/>
      <w:spacing w:after="160" w:line="240" w:lineRule="exact"/>
      <w:jc w:val="left"/>
    </w:pPr>
    <w:rPr>
      <w:rFonts w:ascii="Verdana" w:hAnsi="Verdana" w:eastAsia="仿宋_GB2312" w:cs="Verdana"/>
      <w:kern w:val="0"/>
      <w:sz w:val="20"/>
      <w:szCs w:val="20"/>
      <w:lang w:eastAsia="en-US"/>
    </w:rPr>
  </w:style>
  <w:style w:type="paragraph" w:customStyle="1" w:styleId="82">
    <w:name w:val="Default"/>
    <w:qFormat/>
    <w:uiPriority w:val="0"/>
    <w:pPr>
      <w:widowControl w:val="0"/>
      <w:autoSpaceDE w:val="0"/>
      <w:autoSpaceDN w:val="0"/>
    </w:pPr>
    <w:rPr>
      <w:rFonts w:ascii="宋体.鄆..." w:hAnsi="Calibri" w:eastAsia="宋体.鄆..." w:cs="宋体.鄆..."/>
      <w:color w:val="000000"/>
      <w:sz w:val="24"/>
      <w:szCs w:val="24"/>
      <w:lang w:val="en-US" w:eastAsia="zh-CN" w:bidi="ar-SA"/>
    </w:rPr>
  </w:style>
  <w:style w:type="paragraph" w:customStyle="1" w:styleId="83">
    <w:name w:val="CM5"/>
    <w:basedOn w:val="82"/>
    <w:next w:val="82"/>
    <w:qFormat/>
    <w:uiPriority w:val="0"/>
    <w:pPr>
      <w:spacing w:line="480" w:lineRule="atLeast"/>
    </w:pPr>
    <w:rPr>
      <w:rFonts w:ascii="宋体....." w:eastAsia="宋体....." w:cs="宋体....."/>
    </w:rPr>
  </w:style>
  <w:style w:type="paragraph" w:customStyle="1" w:styleId="84">
    <w:name w:val="样式3"/>
    <w:basedOn w:val="1"/>
    <w:qFormat/>
    <w:uiPriority w:val="0"/>
    <w:pPr>
      <w:spacing w:line="720" w:lineRule="auto"/>
      <w:jc w:val="center"/>
    </w:pPr>
    <w:rPr>
      <w:rFonts w:ascii="Times New Roman" w:hAnsi="Times New Roman" w:eastAsia="黑体" w:cs="黑体"/>
      <w:sz w:val="28"/>
      <w:szCs w:val="28"/>
    </w:rPr>
  </w:style>
  <w:style w:type="paragraph" w:customStyle="1" w:styleId="85">
    <w:name w:val="段落行距"/>
    <w:basedOn w:val="1"/>
    <w:qFormat/>
    <w:uiPriority w:val="0"/>
    <w:pPr>
      <w:spacing w:line="360" w:lineRule="auto"/>
      <w:ind w:firstLine="200" w:firstLineChars="200"/>
    </w:pPr>
    <w:rPr>
      <w:rFonts w:ascii="宋体" w:hAnsi="宋体" w:eastAsia="仿宋_GB2312" w:cs="宋体"/>
      <w:sz w:val="24"/>
      <w:szCs w:val="24"/>
    </w:rPr>
  </w:style>
  <w:style w:type="paragraph" w:customStyle="1" w:styleId="86">
    <w:name w:val="&quot;A 表格标头&quot;"/>
    <w:qFormat/>
    <w:uiPriority w:val="0"/>
    <w:pPr>
      <w:adjustRightInd w:val="0"/>
      <w:snapToGrid w:val="0"/>
      <w:spacing w:beforeLines="50" w:afterLines="50" w:line="460" w:lineRule="atLeast"/>
      <w:jc w:val="center"/>
    </w:pPr>
    <w:rPr>
      <w:rFonts w:ascii="Tahoma" w:hAnsi="Tahoma" w:eastAsia="楷体" w:cs="Times New Roman"/>
      <w:b/>
      <w:spacing w:val="-8"/>
      <w:sz w:val="21"/>
      <w:szCs w:val="24"/>
      <w:lang w:val="en-US" w:eastAsia="zh-CN" w:bidi="ar-SA"/>
    </w:rPr>
  </w:style>
  <w:style w:type="paragraph" w:customStyle="1" w:styleId="87">
    <w:name w:val="列出段落3"/>
    <w:basedOn w:val="1"/>
    <w:unhideWhenUsed/>
    <w:qFormat/>
    <w:uiPriority w:val="34"/>
    <w:pPr>
      <w:ind w:firstLine="420" w:firstLineChars="200"/>
    </w:pPr>
    <w:rPr>
      <w:rFonts w:ascii="Times New Roman" w:hAnsi="Times New Roman" w:eastAsia="仿宋_GB2312" w:cs="Times New Roman"/>
      <w:szCs w:val="20"/>
    </w:rPr>
  </w:style>
  <w:style w:type="paragraph" w:customStyle="1" w:styleId="88">
    <w:name w:val="reader-word-layer reader-word-s2-23"/>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89">
    <w:name w:val="引用1"/>
    <w:basedOn w:val="1"/>
    <w:next w:val="1"/>
    <w:link w:val="90"/>
    <w:qFormat/>
    <w:uiPriority w:val="29"/>
    <w:pPr>
      <w:widowControl/>
      <w:jc w:val="left"/>
    </w:pPr>
    <w:rPr>
      <w:rFonts w:ascii="Calibri" w:hAnsi="Calibri" w:eastAsia="仿宋_GB2312" w:cs="Times New Roman"/>
      <w:i/>
      <w:kern w:val="0"/>
      <w:sz w:val="24"/>
      <w:szCs w:val="24"/>
      <w:lang w:eastAsia="en-US" w:bidi="en-US"/>
    </w:rPr>
  </w:style>
  <w:style w:type="character" w:customStyle="1" w:styleId="90">
    <w:name w:val="引用 Char"/>
    <w:link w:val="89"/>
    <w:qFormat/>
    <w:uiPriority w:val="29"/>
    <w:rPr>
      <w:rFonts w:ascii="Calibri" w:hAnsi="Calibri" w:eastAsia="仿宋_GB2312" w:cs="Times New Roman"/>
      <w:i/>
      <w:kern w:val="0"/>
      <w:sz w:val="24"/>
      <w:szCs w:val="24"/>
      <w:lang w:eastAsia="en-US" w:bidi="en-US"/>
    </w:rPr>
  </w:style>
  <w:style w:type="paragraph" w:customStyle="1" w:styleId="91">
    <w:name w:val="样式2"/>
    <w:basedOn w:val="3"/>
    <w:qFormat/>
    <w:uiPriority w:val="0"/>
    <w:pPr>
      <w:spacing w:before="0" w:beforeLines="100" w:after="0" w:afterLines="100" w:line="640" w:lineRule="exact"/>
      <w:jc w:val="center"/>
    </w:pPr>
    <w:rPr>
      <w:rFonts w:ascii="Times" w:hAnsi="Times" w:eastAsia="仿宋_GB2312"/>
      <w:b/>
      <w:snapToGrid w:val="0"/>
      <w:szCs w:val="32"/>
    </w:rPr>
  </w:style>
  <w:style w:type="paragraph" w:customStyle="1" w:styleId="92">
    <w:name w:val="CM6"/>
    <w:basedOn w:val="82"/>
    <w:next w:val="82"/>
    <w:qFormat/>
    <w:uiPriority w:val="0"/>
    <w:pPr>
      <w:spacing w:line="480" w:lineRule="atLeast"/>
    </w:pPr>
    <w:rPr>
      <w:rFonts w:ascii="宋体....." w:eastAsia="宋体....." w:cs="宋体....."/>
    </w:rPr>
  </w:style>
  <w:style w:type="paragraph" w:customStyle="1" w:styleId="93">
    <w:name w:val="reader-word-layer reader-word-s2-21"/>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94">
    <w:name w:val="无间隔1"/>
    <w:link w:val="95"/>
    <w:qFormat/>
    <w:uiPriority w:val="1"/>
    <w:rPr>
      <w:rFonts w:ascii="Times New Roman" w:hAnsi="Times New Roman" w:eastAsia="宋体" w:cs="Times New Roman"/>
      <w:sz w:val="22"/>
      <w:szCs w:val="22"/>
      <w:lang w:val="en-US" w:eastAsia="zh-CN" w:bidi="ar-SA"/>
    </w:rPr>
  </w:style>
  <w:style w:type="character" w:customStyle="1" w:styleId="95">
    <w:name w:val="无间隔 Char"/>
    <w:link w:val="94"/>
    <w:qFormat/>
    <w:uiPriority w:val="1"/>
    <w:rPr>
      <w:rFonts w:ascii="Times New Roman" w:hAnsi="Times New Roman" w:eastAsia="宋体" w:cs="Times New Roman"/>
      <w:kern w:val="0"/>
      <w:sz w:val="22"/>
    </w:rPr>
  </w:style>
  <w:style w:type="paragraph" w:customStyle="1" w:styleId="96">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97">
    <w:name w:val="标题4"/>
    <w:basedOn w:val="98"/>
    <w:link w:val="100"/>
    <w:qFormat/>
    <w:uiPriority w:val="0"/>
    <w:pPr>
      <w:tabs>
        <w:tab w:val="left" w:pos="420"/>
      </w:tabs>
      <w:spacing w:line="720" w:lineRule="auto"/>
      <w:ind w:left="113" w:firstLine="0" w:firstLineChars="0"/>
    </w:pPr>
    <w:rPr>
      <w:rFonts w:ascii="宋体" w:eastAsia="宋体"/>
      <w:b/>
      <w:bCs/>
      <w:kern w:val="2"/>
      <w:sz w:val="28"/>
      <w:szCs w:val="28"/>
    </w:rPr>
  </w:style>
  <w:style w:type="paragraph" w:customStyle="1" w:styleId="98">
    <w:name w:val="列出段落1"/>
    <w:basedOn w:val="1"/>
    <w:link w:val="99"/>
    <w:qFormat/>
    <w:uiPriority w:val="34"/>
    <w:pPr>
      <w:ind w:firstLine="420" w:firstLineChars="200"/>
    </w:pPr>
    <w:rPr>
      <w:rFonts w:ascii="Times New Roman" w:hAnsi="Times New Roman" w:eastAsia="Times New Roman" w:cs="Times New Roman"/>
      <w:kern w:val="0"/>
      <w:szCs w:val="21"/>
    </w:rPr>
  </w:style>
  <w:style w:type="character" w:customStyle="1" w:styleId="99">
    <w:name w:val="List Paragraph Char Char"/>
    <w:link w:val="98"/>
    <w:qFormat/>
    <w:uiPriority w:val="34"/>
    <w:rPr>
      <w:rFonts w:ascii="Times New Roman" w:hAnsi="Times New Roman" w:eastAsia="Times New Roman" w:cs="Times New Roman"/>
      <w:kern w:val="0"/>
      <w:szCs w:val="21"/>
    </w:rPr>
  </w:style>
  <w:style w:type="character" w:customStyle="1" w:styleId="100">
    <w:name w:val="标题4 Char Char"/>
    <w:link w:val="97"/>
    <w:qFormat/>
    <w:uiPriority w:val="0"/>
    <w:rPr>
      <w:rFonts w:ascii="宋体" w:hAnsi="Times New Roman" w:eastAsia="宋体" w:cs="Times New Roman"/>
      <w:b/>
      <w:bCs/>
      <w:sz w:val="28"/>
      <w:szCs w:val="28"/>
    </w:rPr>
  </w:style>
  <w:style w:type="paragraph" w:customStyle="1" w:styleId="101">
    <w:name w:val="章标题"/>
    <w:next w:val="96"/>
    <w:qFormat/>
    <w:uiPriority w:val="0"/>
    <w:pPr>
      <w:tabs>
        <w:tab w:val="left" w:pos="1020"/>
      </w:tabs>
      <w:spacing w:beforeLines="50" w:afterLines="50"/>
      <w:ind w:left="1020" w:hanging="420"/>
      <w:jc w:val="both"/>
      <w:outlineLvl w:val="1"/>
    </w:pPr>
    <w:rPr>
      <w:rFonts w:ascii="黑体" w:hAnsi="Times New Roman" w:eastAsia="黑体" w:cs="黑体"/>
      <w:sz w:val="21"/>
      <w:szCs w:val="21"/>
      <w:lang w:val="en-US" w:eastAsia="zh-CN" w:bidi="ar-SA"/>
    </w:rPr>
  </w:style>
  <w:style w:type="paragraph" w:customStyle="1" w:styleId="102">
    <w:name w:val="Char1"/>
    <w:basedOn w:val="1"/>
    <w:qFormat/>
    <w:uiPriority w:val="0"/>
    <w:pPr>
      <w:widowControl/>
      <w:spacing w:after="160" w:line="240" w:lineRule="exact"/>
      <w:jc w:val="left"/>
    </w:pPr>
    <w:rPr>
      <w:rFonts w:ascii="Verdana" w:hAnsi="Verdana" w:eastAsia="仿宋_GB2312" w:cs="宋体"/>
      <w:sz w:val="20"/>
      <w:szCs w:val="20"/>
      <w:lang w:eastAsia="en-US"/>
    </w:rPr>
  </w:style>
  <w:style w:type="paragraph" w:customStyle="1" w:styleId="103">
    <w:name w:val="表题"/>
    <w:basedOn w:val="1"/>
    <w:qFormat/>
    <w:uiPriority w:val="0"/>
    <w:pPr>
      <w:snapToGrid w:val="0"/>
      <w:spacing w:before="120" w:after="120" w:line="310" w:lineRule="atLeast"/>
      <w:jc w:val="center"/>
    </w:pPr>
    <w:rPr>
      <w:rFonts w:ascii="Arial" w:hAnsi="Arial" w:eastAsia="黑体" w:cs="黑体"/>
      <w:szCs w:val="21"/>
    </w:rPr>
  </w:style>
  <w:style w:type="paragraph" w:customStyle="1" w:styleId="104">
    <w:name w:val="Char Char7"/>
    <w:basedOn w:val="1"/>
    <w:qFormat/>
    <w:uiPriority w:val="0"/>
    <w:pPr>
      <w:widowControl/>
      <w:spacing w:after="160" w:line="240" w:lineRule="exact"/>
      <w:jc w:val="left"/>
    </w:pPr>
    <w:rPr>
      <w:rFonts w:ascii="Calibri" w:hAnsi="Calibri" w:eastAsia="仿宋_GB2312" w:cs="Times New Roman"/>
    </w:rPr>
  </w:style>
  <w:style w:type="paragraph" w:customStyle="1" w:styleId="105">
    <w:name w:val="a1"/>
    <w:basedOn w:val="1"/>
    <w:qFormat/>
    <w:uiPriority w:val="0"/>
    <w:pPr>
      <w:widowControl/>
      <w:spacing w:before="100" w:beforeAutospacing="1" w:after="100" w:afterAutospacing="1"/>
      <w:jc w:val="left"/>
    </w:pPr>
    <w:rPr>
      <w:rFonts w:ascii="宋体" w:hAnsi="宋体" w:eastAsia="黑体" w:cs="宋体"/>
      <w:kern w:val="0"/>
      <w:sz w:val="32"/>
      <w:szCs w:val="21"/>
    </w:rPr>
  </w:style>
  <w:style w:type="paragraph" w:customStyle="1" w:styleId="106">
    <w:name w:val="选项"/>
    <w:basedOn w:val="1"/>
    <w:qFormat/>
    <w:uiPriority w:val="0"/>
    <w:pPr>
      <w:ind w:left="424" w:leftChars="201"/>
    </w:pPr>
    <w:rPr>
      <w:rFonts w:ascii="Times New Roman" w:hAnsi="Times New Roman" w:eastAsia="仿宋_GB2312" w:cs="Times New Roman"/>
      <w:szCs w:val="24"/>
    </w:rPr>
  </w:style>
  <w:style w:type="paragraph" w:customStyle="1" w:styleId="107">
    <w:name w:val="列出段落2"/>
    <w:basedOn w:val="1"/>
    <w:qFormat/>
    <w:uiPriority w:val="34"/>
    <w:pPr>
      <w:ind w:firstLine="420" w:firstLineChars="200"/>
    </w:pPr>
    <w:rPr>
      <w:rFonts w:ascii="Calibri" w:hAnsi="Calibri" w:eastAsia="仿宋_GB2312" w:cs="Times New Roman"/>
    </w:rPr>
  </w:style>
  <w:style w:type="paragraph" w:customStyle="1" w:styleId="108">
    <w:name w:val="p16"/>
    <w:basedOn w:val="1"/>
    <w:qFormat/>
    <w:uiPriority w:val="0"/>
    <w:pPr>
      <w:widowControl/>
      <w:snapToGrid w:val="0"/>
      <w:spacing w:before="120" w:after="120" w:line="310" w:lineRule="atLeast"/>
      <w:jc w:val="center"/>
    </w:pPr>
    <w:rPr>
      <w:rFonts w:ascii="Arial" w:hAnsi="Arial" w:eastAsia="仿宋_GB2312" w:cs="Arial"/>
      <w:kern w:val="0"/>
      <w:szCs w:val="21"/>
    </w:rPr>
  </w:style>
  <w:style w:type="paragraph" w:customStyle="1" w:styleId="109">
    <w:name w:val="p15"/>
    <w:basedOn w:val="1"/>
    <w:qFormat/>
    <w:uiPriority w:val="0"/>
    <w:pPr>
      <w:widowControl/>
      <w:spacing w:before="100" w:after="100"/>
      <w:jc w:val="left"/>
    </w:pPr>
    <w:rPr>
      <w:rFonts w:hint="eastAsia" w:ascii="宋体" w:hAnsi="宋体" w:eastAsia="仿宋_GB2312" w:cs="Times New Roman"/>
      <w:kern w:val="0"/>
      <w:sz w:val="24"/>
      <w:szCs w:val="24"/>
    </w:rPr>
  </w:style>
  <w:style w:type="paragraph" w:customStyle="1" w:styleId="110">
    <w:name w:val="CM1"/>
    <w:basedOn w:val="82"/>
    <w:next w:val="82"/>
    <w:qFormat/>
    <w:uiPriority w:val="0"/>
    <w:pPr>
      <w:spacing w:line="480" w:lineRule="atLeast"/>
    </w:pPr>
  </w:style>
  <w:style w:type="paragraph" w:customStyle="1" w:styleId="111">
    <w:name w:val="custom_unionstyle"/>
    <w:basedOn w:val="1"/>
    <w:qFormat/>
    <w:uiPriority w:val="0"/>
    <w:pPr>
      <w:widowControl/>
      <w:spacing w:before="100" w:beforeAutospacing="1" w:after="100" w:afterAutospacing="1"/>
      <w:jc w:val="left"/>
    </w:pPr>
    <w:rPr>
      <w:rFonts w:ascii="宋体" w:hAnsi="宋体" w:eastAsia="仿宋_GB2312" w:cs="宋体"/>
      <w:kern w:val="0"/>
      <w:sz w:val="24"/>
      <w:szCs w:val="21"/>
    </w:rPr>
  </w:style>
  <w:style w:type="paragraph" w:customStyle="1" w:styleId="112">
    <w:name w:val="a0"/>
    <w:basedOn w:val="1"/>
    <w:qFormat/>
    <w:uiPriority w:val="0"/>
    <w:pPr>
      <w:widowControl/>
      <w:spacing w:before="100" w:beforeAutospacing="1" w:after="100" w:afterAutospacing="1"/>
      <w:jc w:val="left"/>
    </w:pPr>
    <w:rPr>
      <w:rFonts w:ascii="宋体" w:hAnsi="宋体" w:eastAsia="仿宋_GB2312" w:cs="宋体"/>
      <w:kern w:val="0"/>
      <w:sz w:val="24"/>
      <w:szCs w:val="21"/>
    </w:rPr>
  </w:style>
  <w:style w:type="paragraph" w:customStyle="1" w:styleId="113">
    <w:name w:val="p0"/>
    <w:basedOn w:val="1"/>
    <w:qFormat/>
    <w:uiPriority w:val="0"/>
    <w:pPr>
      <w:widowControl/>
    </w:pPr>
    <w:rPr>
      <w:rFonts w:ascii="Times New Roman" w:hAnsi="Times New Roman" w:eastAsia="仿宋_GB2312" w:cs="Times New Roman"/>
      <w:kern w:val="0"/>
      <w:szCs w:val="21"/>
    </w:rPr>
  </w:style>
  <w:style w:type="paragraph" w:customStyle="1" w:styleId="114">
    <w:name w:val="附件"/>
    <w:basedOn w:val="1"/>
    <w:qFormat/>
    <w:uiPriority w:val="0"/>
    <w:rPr>
      <w:rFonts w:ascii="Times New Roman" w:hAnsi="Times New Roman" w:eastAsia="仿宋_GB2312" w:cs="Times New Roman"/>
      <w:sz w:val="32"/>
      <w:szCs w:val="24"/>
    </w:rPr>
  </w:style>
  <w:style w:type="paragraph" w:customStyle="1" w:styleId="115">
    <w:name w:val="a2"/>
    <w:basedOn w:val="1"/>
    <w:qFormat/>
    <w:uiPriority w:val="0"/>
    <w:pPr>
      <w:widowControl/>
      <w:spacing w:before="100" w:beforeAutospacing="1" w:after="100" w:afterAutospacing="1"/>
      <w:jc w:val="left"/>
    </w:pPr>
    <w:rPr>
      <w:rFonts w:ascii="楷体_GB2312" w:hAnsi="仿宋_GB2312" w:eastAsia="楷体_GB2312" w:cs="仿宋_GB2312"/>
      <w:spacing w:val="-10"/>
      <w:kern w:val="0"/>
      <w:sz w:val="32"/>
      <w:szCs w:val="32"/>
    </w:rPr>
  </w:style>
  <w:style w:type="paragraph" w:customStyle="1" w:styleId="116">
    <w:name w:val="样式1"/>
    <w:basedOn w:val="1"/>
    <w:link w:val="117"/>
    <w:qFormat/>
    <w:uiPriority w:val="0"/>
    <w:pPr>
      <w:spacing w:line="360" w:lineRule="auto"/>
      <w:ind w:firstLine="200" w:firstLineChars="200"/>
    </w:pPr>
    <w:rPr>
      <w:rFonts w:ascii="Times New Roman" w:hAnsi="Times New Roman" w:eastAsia="仿宋_GB2312" w:cs="Times New Roman"/>
      <w:sz w:val="28"/>
      <w:szCs w:val="28"/>
    </w:rPr>
  </w:style>
  <w:style w:type="character" w:customStyle="1" w:styleId="117">
    <w:name w:val="样式1 Char"/>
    <w:link w:val="116"/>
    <w:qFormat/>
    <w:uiPriority w:val="0"/>
    <w:rPr>
      <w:rFonts w:ascii="Times New Roman" w:hAnsi="Times New Roman" w:eastAsia="仿宋_GB2312" w:cs="Times New Roman"/>
      <w:sz w:val="28"/>
      <w:szCs w:val="28"/>
    </w:rPr>
  </w:style>
  <w:style w:type="paragraph" w:customStyle="1" w:styleId="118">
    <w:name w:val="Char2"/>
    <w:basedOn w:val="1"/>
    <w:qFormat/>
    <w:uiPriority w:val="0"/>
    <w:pPr>
      <w:widowControl/>
      <w:spacing w:after="160" w:line="240" w:lineRule="exact"/>
      <w:jc w:val="left"/>
    </w:pPr>
    <w:rPr>
      <w:rFonts w:ascii="Times New Roman" w:hAnsi="Times New Roman" w:eastAsia="仿宋_GB2312" w:cs="Times New Roman"/>
      <w:szCs w:val="24"/>
    </w:rPr>
  </w:style>
  <w:style w:type="paragraph" w:customStyle="1" w:styleId="119">
    <w:name w:val="CM9"/>
    <w:basedOn w:val="82"/>
    <w:next w:val="82"/>
    <w:qFormat/>
    <w:uiPriority w:val="0"/>
  </w:style>
  <w:style w:type="paragraph" w:customStyle="1" w:styleId="120">
    <w:name w:val="Char"/>
    <w:basedOn w:val="1"/>
    <w:qFormat/>
    <w:uiPriority w:val="0"/>
    <w:rPr>
      <w:rFonts w:ascii="Times New Roman" w:hAnsi="Times New Roman" w:eastAsia="仿宋_GB2312" w:cs="宋体"/>
      <w:szCs w:val="21"/>
    </w:rPr>
  </w:style>
  <w:style w:type="paragraph" w:customStyle="1" w:styleId="121">
    <w:name w:val="reader-word-layer reader-word-s6-9"/>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2">
    <w:name w:val="reader-word-layer reader-word-s2-22"/>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3">
    <w:name w:val="reader-word-layer reader-word-s2-14"/>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4">
    <w:name w:val="明显引用1"/>
    <w:basedOn w:val="1"/>
    <w:next w:val="1"/>
    <w:link w:val="125"/>
    <w:qFormat/>
    <w:uiPriority w:val="30"/>
    <w:pPr>
      <w:widowControl/>
      <w:ind w:left="720" w:right="720"/>
      <w:jc w:val="left"/>
    </w:pPr>
    <w:rPr>
      <w:rFonts w:ascii="Calibri" w:hAnsi="Calibri" w:eastAsia="仿宋_GB2312" w:cs="Times New Roman"/>
      <w:b/>
      <w:i/>
      <w:kern w:val="0"/>
      <w:sz w:val="24"/>
      <w:lang w:eastAsia="en-US" w:bidi="en-US"/>
    </w:rPr>
  </w:style>
  <w:style w:type="character" w:customStyle="1" w:styleId="125">
    <w:name w:val="明显引用 Char"/>
    <w:link w:val="124"/>
    <w:qFormat/>
    <w:uiPriority w:val="30"/>
    <w:rPr>
      <w:rFonts w:ascii="Calibri" w:hAnsi="Calibri" w:eastAsia="仿宋_GB2312" w:cs="Times New Roman"/>
      <w:b/>
      <w:i/>
      <w:kern w:val="0"/>
      <w:sz w:val="24"/>
      <w:lang w:eastAsia="en-US" w:bidi="en-US"/>
    </w:rPr>
  </w:style>
  <w:style w:type="paragraph" w:customStyle="1" w:styleId="126">
    <w:name w:val="reader-word-layer reader-word-s2-13"/>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7">
    <w:name w:val="reader-word-layer reader-word-s2-24"/>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8">
    <w:name w:val="reader-word-layer reader-word-s2-25"/>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9">
    <w:name w:val="列出段落21"/>
    <w:basedOn w:val="1"/>
    <w:qFormat/>
    <w:uiPriority w:val="0"/>
    <w:pPr>
      <w:widowControl/>
      <w:ind w:firstLine="420" w:firstLineChars="200"/>
      <w:jc w:val="left"/>
    </w:pPr>
    <w:rPr>
      <w:rFonts w:ascii="Calibri" w:hAnsi="Calibri" w:eastAsia="仿宋_GB2312" w:cs="Times New Roman"/>
      <w:kern w:val="0"/>
      <w:sz w:val="24"/>
      <w:lang w:eastAsia="en-US" w:bidi="en-US"/>
    </w:rPr>
  </w:style>
  <w:style w:type="paragraph" w:customStyle="1" w:styleId="130">
    <w:name w:val="reader-word-layer"/>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31">
    <w:name w:val="一、"/>
    <w:basedOn w:val="1"/>
    <w:qFormat/>
    <w:uiPriority w:val="0"/>
    <w:pPr>
      <w:widowControl/>
      <w:jc w:val="center"/>
    </w:pPr>
    <w:rPr>
      <w:rFonts w:ascii="Calibri" w:hAnsi="Calibri" w:eastAsia="仿宋_GB2312" w:cs="Times New Roman"/>
      <w:kern w:val="0"/>
      <w:sz w:val="18"/>
      <w:szCs w:val="20"/>
      <w:lang w:eastAsia="en-US" w:bidi="en-US"/>
    </w:rPr>
  </w:style>
  <w:style w:type="paragraph" w:customStyle="1" w:styleId="132">
    <w:name w:val="Char11"/>
    <w:basedOn w:val="1"/>
    <w:qFormat/>
    <w:uiPriority w:val="0"/>
    <w:pPr>
      <w:widowControl/>
      <w:spacing w:line="360" w:lineRule="auto"/>
      <w:jc w:val="left"/>
    </w:pPr>
    <w:rPr>
      <w:rFonts w:ascii="Tahoma" w:hAnsi="Tahoma" w:eastAsia="仿宋_GB2312" w:cs="Times New Roman"/>
      <w:kern w:val="0"/>
      <w:sz w:val="24"/>
      <w:szCs w:val="20"/>
      <w:lang w:eastAsia="en-US" w:bidi="en-US"/>
    </w:rPr>
  </w:style>
  <w:style w:type="paragraph" w:customStyle="1" w:styleId="133">
    <w:name w:val="Char Char1 Char Char1 Char Char Char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134">
    <w:name w:val="Char1 Char Char Char3"/>
    <w:basedOn w:val="1"/>
    <w:qFormat/>
    <w:uiPriority w:val="0"/>
    <w:pPr>
      <w:widowControl/>
      <w:spacing w:after="160" w:line="240" w:lineRule="exact"/>
      <w:jc w:val="left"/>
    </w:pPr>
    <w:rPr>
      <w:rFonts w:ascii="Calibri" w:hAnsi="Calibri" w:eastAsia="仿宋_GB2312" w:cs="Times New Roman"/>
      <w:kern w:val="0"/>
      <w:sz w:val="24"/>
      <w:szCs w:val="24"/>
      <w:lang w:eastAsia="en-US" w:bidi="en-US"/>
    </w:rPr>
  </w:style>
  <w:style w:type="paragraph" w:customStyle="1" w:styleId="135">
    <w:name w:val="一级标题"/>
    <w:basedOn w:val="1"/>
    <w:next w:val="1"/>
    <w:qFormat/>
    <w:uiPriority w:val="0"/>
    <w:pPr>
      <w:widowControl/>
      <w:snapToGrid w:val="0"/>
      <w:spacing w:line="480" w:lineRule="exact"/>
      <w:ind w:firstLine="200" w:firstLineChars="200"/>
      <w:jc w:val="left"/>
    </w:pPr>
    <w:rPr>
      <w:rFonts w:ascii="宋体" w:hAnsi="宋体" w:eastAsia="黑体" w:cs="Times New Roman"/>
      <w:color w:val="000000"/>
      <w:kern w:val="0"/>
      <w:sz w:val="24"/>
      <w:szCs w:val="24"/>
      <w:lang w:eastAsia="en-US" w:bidi="en-US"/>
    </w:rPr>
  </w:style>
  <w:style w:type="paragraph" w:customStyle="1" w:styleId="136">
    <w:name w:val="页脚 New"/>
    <w:basedOn w:val="137"/>
    <w:qFormat/>
    <w:uiPriority w:val="0"/>
    <w:pPr>
      <w:tabs>
        <w:tab w:val="center" w:pos="4153"/>
        <w:tab w:val="right" w:pos="8306"/>
      </w:tabs>
      <w:snapToGrid w:val="0"/>
      <w:jc w:val="left"/>
    </w:pPr>
    <w:rPr>
      <w:sz w:val="18"/>
      <w:szCs w:val="18"/>
    </w:rPr>
  </w:style>
  <w:style w:type="paragraph" w:customStyle="1" w:styleId="13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8">
    <w:name w:val="正文文本 Char1"/>
    <w:qFormat/>
    <w:uiPriority w:val="0"/>
    <w:rPr>
      <w:kern w:val="2"/>
      <w:sz w:val="21"/>
    </w:rPr>
  </w:style>
  <w:style w:type="character" w:customStyle="1" w:styleId="139">
    <w:name w:val="书籍标题1"/>
    <w:qFormat/>
    <w:uiPriority w:val="0"/>
    <w:rPr>
      <w:rFonts w:cs="Times New Roman"/>
      <w:b/>
      <w:bCs/>
      <w:smallCaps/>
      <w:spacing w:val="5"/>
    </w:rPr>
  </w:style>
  <w:style w:type="character" w:customStyle="1" w:styleId="140">
    <w:name w:val="日期 Char1"/>
    <w:qFormat/>
    <w:uiPriority w:val="0"/>
    <w:rPr>
      <w:kern w:val="2"/>
      <w:sz w:val="21"/>
    </w:rPr>
  </w:style>
  <w:style w:type="character" w:customStyle="1" w:styleId="141">
    <w:name w:val="grame"/>
    <w:qFormat/>
    <w:uiPriority w:val="0"/>
    <w:rPr>
      <w:rFonts w:cs="Times New Roman"/>
    </w:rPr>
  </w:style>
  <w:style w:type="character" w:customStyle="1" w:styleId="142">
    <w:name w:val="批注主题 Char1"/>
    <w:qFormat/>
    <w:uiPriority w:val="0"/>
    <w:rPr>
      <w:b/>
      <w:bCs/>
      <w:kern w:val="2"/>
      <w:sz w:val="21"/>
    </w:rPr>
  </w:style>
  <w:style w:type="character" w:customStyle="1" w:styleId="143">
    <w:name w:val="headline-content2"/>
    <w:basedOn w:val="44"/>
    <w:qFormat/>
    <w:uiPriority w:val="0"/>
  </w:style>
  <w:style w:type="character" w:customStyle="1" w:styleId="144">
    <w:name w:val="xiangxiyemian060430_neirongjianjie1"/>
    <w:qFormat/>
    <w:uiPriority w:val="0"/>
  </w:style>
  <w:style w:type="character" w:customStyle="1" w:styleId="145">
    <w:name w:val="不明显强调1"/>
    <w:qFormat/>
    <w:uiPriority w:val="19"/>
    <w:rPr>
      <w:i/>
      <w:color w:val="5A5A5A"/>
    </w:rPr>
  </w:style>
  <w:style w:type="character" w:customStyle="1" w:styleId="146">
    <w:name w:val="company-content"/>
    <w:basedOn w:val="44"/>
    <w:qFormat/>
    <w:uiPriority w:val="0"/>
  </w:style>
  <w:style w:type="character" w:customStyle="1" w:styleId="147">
    <w:name w:val="Char Char3"/>
    <w:qFormat/>
    <w:uiPriority w:val="0"/>
    <w:rPr>
      <w:kern w:val="2"/>
      <w:sz w:val="18"/>
      <w:szCs w:val="18"/>
    </w:rPr>
  </w:style>
  <w:style w:type="character" w:customStyle="1" w:styleId="148">
    <w:name w:val="纯文本 Char1"/>
    <w:qFormat/>
    <w:uiPriority w:val="0"/>
    <w:rPr>
      <w:rFonts w:ascii="宋体" w:hAnsi="Courier New" w:cs="Courier New"/>
      <w:kern w:val="2"/>
      <w:sz w:val="21"/>
      <w:szCs w:val="21"/>
    </w:rPr>
  </w:style>
  <w:style w:type="character" w:customStyle="1" w:styleId="149">
    <w:name w:val="页眉 Char1"/>
    <w:qFormat/>
    <w:uiPriority w:val="0"/>
    <w:rPr>
      <w:kern w:val="2"/>
      <w:sz w:val="18"/>
      <w:szCs w:val="18"/>
    </w:rPr>
  </w:style>
  <w:style w:type="character" w:customStyle="1" w:styleId="150">
    <w:name w:val="副标题 Char1"/>
    <w:qFormat/>
    <w:uiPriority w:val="0"/>
    <w:rPr>
      <w:rFonts w:ascii="Arial" w:hAnsi="Arial" w:cs="Times New Roman"/>
      <w:b/>
      <w:bCs/>
      <w:kern w:val="28"/>
      <w:sz w:val="32"/>
      <w:szCs w:val="32"/>
    </w:rPr>
  </w:style>
  <w:style w:type="character" w:customStyle="1" w:styleId="151">
    <w:name w:val="正文文本缩进 3 Char1"/>
    <w:qFormat/>
    <w:uiPriority w:val="0"/>
    <w:rPr>
      <w:kern w:val="2"/>
      <w:sz w:val="16"/>
      <w:szCs w:val="16"/>
    </w:rPr>
  </w:style>
  <w:style w:type="character" w:customStyle="1" w:styleId="152">
    <w:name w:val="txt"/>
    <w:qFormat/>
    <w:uiPriority w:val="0"/>
    <w:rPr>
      <w:rFonts w:ascii="Tahoma" w:hAnsi="Tahoma" w:eastAsia="宋体"/>
      <w:sz w:val="21"/>
      <w:szCs w:val="21"/>
      <w:lang w:val="en-US" w:eastAsia="zh-CN" w:bidi="ar-SA"/>
    </w:rPr>
  </w:style>
  <w:style w:type="character" w:customStyle="1" w:styleId="153">
    <w:name w:val="页眉 Char Char"/>
    <w:qFormat/>
    <w:uiPriority w:val="0"/>
    <w:rPr>
      <w:rFonts w:cs="Times New Roman"/>
      <w:sz w:val="18"/>
      <w:szCs w:val="18"/>
    </w:rPr>
  </w:style>
  <w:style w:type="character" w:customStyle="1" w:styleId="154">
    <w:name w:val="unnamed31"/>
    <w:qFormat/>
    <w:uiPriority w:val="0"/>
    <w:rPr>
      <w:rFonts w:cs="Times New Roman"/>
    </w:rPr>
  </w:style>
  <w:style w:type="character" w:customStyle="1" w:styleId="155">
    <w:name w:val="书籍标题2"/>
    <w:qFormat/>
    <w:uiPriority w:val="33"/>
    <w:rPr>
      <w:rFonts w:ascii="Cambria" w:hAnsi="Cambria" w:eastAsia="宋体"/>
      <w:b/>
      <w:i/>
      <w:sz w:val="24"/>
      <w:szCs w:val="24"/>
    </w:rPr>
  </w:style>
  <w:style w:type="character" w:customStyle="1" w:styleId="156">
    <w:name w:val="文档结构图 Char1"/>
    <w:qFormat/>
    <w:uiPriority w:val="0"/>
    <w:rPr>
      <w:rFonts w:ascii="宋体"/>
      <w:kern w:val="2"/>
      <w:sz w:val="18"/>
      <w:szCs w:val="18"/>
    </w:rPr>
  </w:style>
  <w:style w:type="character" w:customStyle="1" w:styleId="157">
    <w:name w:val="标题 Char1"/>
    <w:qFormat/>
    <w:uiPriority w:val="0"/>
    <w:rPr>
      <w:rFonts w:ascii="Arial" w:hAnsi="Arial" w:cs="Times New Roman"/>
      <w:b/>
      <w:bCs/>
      <w:kern w:val="2"/>
      <w:sz w:val="32"/>
      <w:szCs w:val="32"/>
    </w:rPr>
  </w:style>
  <w:style w:type="character" w:customStyle="1" w:styleId="158">
    <w:name w:val="wordll1"/>
    <w:qFormat/>
    <w:uiPriority w:val="0"/>
    <w:rPr>
      <w:sz w:val="22"/>
    </w:rPr>
  </w:style>
  <w:style w:type="character" w:customStyle="1" w:styleId="159">
    <w:name w:val="页脚 Char1"/>
    <w:qFormat/>
    <w:uiPriority w:val="99"/>
    <w:rPr>
      <w:kern w:val="2"/>
      <w:sz w:val="18"/>
      <w:szCs w:val="18"/>
    </w:rPr>
  </w:style>
  <w:style w:type="character" w:customStyle="1" w:styleId="160">
    <w:name w:val="正文文本缩进 2 Char1"/>
    <w:qFormat/>
    <w:uiPriority w:val="0"/>
    <w:rPr>
      <w:kern w:val="2"/>
      <w:sz w:val="21"/>
    </w:rPr>
  </w:style>
  <w:style w:type="character" w:customStyle="1" w:styleId="161">
    <w:name w:val="apple-converted-space"/>
    <w:basedOn w:val="44"/>
    <w:qFormat/>
    <w:uiPriority w:val="0"/>
  </w:style>
  <w:style w:type="character" w:customStyle="1" w:styleId="162">
    <w:name w:val="批注文字 Char1"/>
    <w:qFormat/>
    <w:uiPriority w:val="0"/>
    <w:rPr>
      <w:kern w:val="2"/>
      <w:sz w:val="21"/>
    </w:rPr>
  </w:style>
  <w:style w:type="character" w:customStyle="1" w:styleId="163">
    <w:name w:val="明显强调1"/>
    <w:qFormat/>
    <w:uiPriority w:val="21"/>
    <w:rPr>
      <w:b/>
      <w:i/>
      <w:sz w:val="24"/>
      <w:szCs w:val="24"/>
      <w:u w:val="single"/>
    </w:rPr>
  </w:style>
  <w:style w:type="character" w:customStyle="1" w:styleId="164">
    <w:name w:val="批注框文本 Char1"/>
    <w:qFormat/>
    <w:uiPriority w:val="0"/>
    <w:rPr>
      <w:kern w:val="2"/>
      <w:sz w:val="18"/>
      <w:szCs w:val="18"/>
    </w:rPr>
  </w:style>
  <w:style w:type="character" w:customStyle="1" w:styleId="165">
    <w:name w:val="批注框文本 Char Char"/>
    <w:qFormat/>
    <w:uiPriority w:val="0"/>
    <w:rPr>
      <w:rFonts w:cs="Times New Roman"/>
      <w:kern w:val="2"/>
      <w:sz w:val="18"/>
      <w:szCs w:val="18"/>
    </w:rPr>
  </w:style>
  <w:style w:type="character" w:customStyle="1" w:styleId="166">
    <w:name w:val="正文文本缩进 Char1"/>
    <w:qFormat/>
    <w:uiPriority w:val="0"/>
    <w:rPr>
      <w:kern w:val="2"/>
      <w:sz w:val="21"/>
    </w:rPr>
  </w:style>
  <w:style w:type="character" w:customStyle="1" w:styleId="167">
    <w:name w:val="zi_141"/>
    <w:qFormat/>
    <w:uiPriority w:val="0"/>
    <w:rPr>
      <w:rFonts w:ascii="??"/>
      <w:b/>
      <w:color w:val="000000"/>
      <w:spacing w:val="30"/>
      <w:sz w:val="21"/>
    </w:rPr>
  </w:style>
  <w:style w:type="character" w:customStyle="1" w:styleId="168">
    <w:name w:val="批注文字 Char Char"/>
    <w:qFormat/>
    <w:uiPriority w:val="0"/>
    <w:rPr>
      <w:rFonts w:cs="Times New Roman"/>
      <w:sz w:val="21"/>
      <w:szCs w:val="21"/>
    </w:rPr>
  </w:style>
  <w:style w:type="character" w:customStyle="1" w:styleId="169">
    <w:name w:val="正文首行缩进 2 Char1"/>
    <w:qFormat/>
    <w:uiPriority w:val="0"/>
    <w:rPr>
      <w:kern w:val="2"/>
      <w:sz w:val="21"/>
    </w:rPr>
  </w:style>
  <w:style w:type="character" w:customStyle="1" w:styleId="170">
    <w:name w:val="标题 3 Char Char"/>
    <w:qFormat/>
    <w:uiPriority w:val="0"/>
    <w:rPr>
      <w:rFonts w:eastAsia="方正小标宋_GBK" w:cs="Times New Roman"/>
      <w:bCs/>
      <w:sz w:val="32"/>
      <w:szCs w:val="32"/>
    </w:rPr>
  </w:style>
  <w:style w:type="character" w:customStyle="1" w:styleId="171">
    <w:name w:val="不明显参考1"/>
    <w:qFormat/>
    <w:uiPriority w:val="31"/>
    <w:rPr>
      <w:sz w:val="24"/>
      <w:szCs w:val="24"/>
      <w:u w:val="single"/>
    </w:rPr>
  </w:style>
  <w:style w:type="character" w:customStyle="1" w:styleId="172">
    <w:name w:val="明显参考1"/>
    <w:qFormat/>
    <w:uiPriority w:val="32"/>
    <w:rPr>
      <w:b/>
      <w:sz w:val="24"/>
      <w:u w:val="single"/>
    </w:rPr>
  </w:style>
  <w:style w:type="paragraph" w:customStyle="1" w:styleId="173">
    <w:name w:val="样式C"/>
    <w:basedOn w:val="1"/>
    <w:qFormat/>
    <w:uiPriority w:val="0"/>
    <w:pPr>
      <w:adjustRightInd w:val="0"/>
      <w:snapToGrid w:val="0"/>
      <w:spacing w:line="500" w:lineRule="exact"/>
      <w:ind w:firstLine="480" w:firstLineChars="200"/>
    </w:pPr>
    <w:rPr>
      <w:rFonts w:ascii="仿宋_GB2312" w:hAnsi="Times New Roman" w:eastAsia="仿宋_GB2312" w:cs="Times New Roman"/>
      <w:sz w:val="24"/>
      <w:szCs w:val="24"/>
    </w:rPr>
  </w:style>
  <w:style w:type="paragraph" w:customStyle="1" w:styleId="174">
    <w:name w:val="TOC 标题1"/>
    <w:basedOn w:val="3"/>
    <w:next w:val="1"/>
    <w:unhideWhenUsed/>
    <w:qFormat/>
    <w:uiPriority w:val="39"/>
    <w:pPr>
      <w:widowControl/>
      <w:spacing w:before="480" w:after="0" w:line="276" w:lineRule="auto"/>
      <w:outlineLvl w:val="9"/>
    </w:pPr>
    <w:rPr>
      <w:rFonts w:asciiTheme="majorHAnsi" w:hAnsiTheme="majorHAnsi" w:eastAsiaTheme="majorEastAsia" w:cstheme="majorBidi"/>
      <w:b/>
      <w:color w:val="376092" w:themeColor="accent1" w:themeShade="BF"/>
      <w:kern w:val="0"/>
      <w:sz w:val="28"/>
      <w:szCs w:val="28"/>
    </w:rPr>
  </w:style>
  <w:style w:type="paragraph" w:customStyle="1" w:styleId="175">
    <w:name w:val="Table Paragraph"/>
    <w:basedOn w:val="1"/>
    <w:qFormat/>
    <w:uiPriority w:val="1"/>
    <w:pPr>
      <w:jc w:val="left"/>
    </w:pPr>
    <w:rPr>
      <w:kern w:val="0"/>
      <w:sz w:val="22"/>
      <w:lang w:eastAsia="en-US"/>
    </w:rPr>
  </w:style>
  <w:style w:type="paragraph" w:customStyle="1" w:styleId="176">
    <w:name w:val="表格表头"/>
    <w:basedOn w:val="1"/>
    <w:qFormat/>
    <w:uiPriority w:val="0"/>
    <w:pPr>
      <w:jc w:val="center"/>
    </w:pPr>
    <w:rPr>
      <w:rFonts w:eastAsia="楷体"/>
      <w:b/>
    </w:rPr>
  </w:style>
  <w:style w:type="table" w:customStyle="1" w:styleId="177">
    <w:name w:val="Table Normal"/>
    <w:semiHidden/>
    <w:unhideWhenUsed/>
    <w:qFormat/>
    <w:uiPriority w:val="0"/>
    <w:rPr>
      <w:rFonts w:ascii="Arial" w:hAnsi="Arial" w:cs="Arial"/>
      <w:snapToGrid w:val="0"/>
      <w:color w:val="000000"/>
      <w:szCs w:val="21"/>
      <w:lang w:eastAsia="en-US"/>
    </w:rPr>
    <w:tblPr>
      <w:tblCellMar>
        <w:top w:w="0" w:type="dxa"/>
        <w:left w:w="0" w:type="dxa"/>
        <w:bottom w:w="0" w:type="dxa"/>
        <w:right w:w="0" w:type="dxa"/>
      </w:tblCellMar>
    </w:tblPr>
  </w:style>
  <w:style w:type="paragraph" w:customStyle="1" w:styleId="178">
    <w:name w:val="Table Text"/>
    <w:basedOn w:val="1"/>
    <w:semiHidden/>
    <w:qFormat/>
    <w:uiPriority w:val="0"/>
    <w:pPr>
      <w:widowControl/>
      <w:kinsoku w:val="0"/>
      <w:autoSpaceDE w:val="0"/>
      <w:autoSpaceDN w:val="0"/>
      <w:adjustRightInd w:val="0"/>
      <w:snapToGrid w:val="0"/>
      <w:textAlignment w:val="baseline"/>
    </w:pPr>
    <w:rPr>
      <w:rFonts w:ascii="Arial" w:hAnsi="Arial" w:eastAsia="Arial" w:cs="Arial"/>
      <w:snapToGrid w:val="0"/>
      <w:color w:val="000000"/>
      <w:szCs w:val="21"/>
    </w:rPr>
  </w:style>
  <w:style w:type="paragraph" w:customStyle="1" w:styleId="179">
    <w:name w:val="msolistparagraph"/>
    <w:basedOn w:val="1"/>
    <w:qFormat/>
    <w:uiPriority w:val="0"/>
    <w:pPr>
      <w:ind w:firstLine="420" w:firstLineChars="200"/>
    </w:pPr>
    <w:rPr>
      <w:rFonts w:hint="eastAsia" w:ascii="等线" w:hAnsi="等线" w:eastAsia="等线" w:cs="Times New Roman"/>
    </w:rPr>
  </w:style>
  <w:style w:type="paragraph" w:customStyle="1" w:styleId="180">
    <w:name w:val="样式 小四 行距: 1.5 倍行距"/>
    <w:basedOn w:val="1"/>
    <w:qFormat/>
    <w:uiPriority w:val="0"/>
    <w:pPr>
      <w:spacing w:line="360" w:lineRule="auto"/>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38FCF8-5754-4E0F-A991-549208890928}">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80312</Words>
  <Characters>82664</Characters>
  <Lines>660</Lines>
  <Paragraphs>186</Paragraphs>
  <TotalTime>54</TotalTime>
  <ScaleCrop>false</ScaleCrop>
  <LinksUpToDate>false</LinksUpToDate>
  <CharactersWithSpaces>82960</CharactersWithSpaces>
  <Application>WPS Office_12.1.0.17142_F1E327BC-269C-435d-A152-05C5408002CA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2023-05-20T07:18:00Z</dcterms:created>
  <dc:creator>jiankang zhou</dc:creator>
  <cp:lastModifiedBy>姜佰慧</cp:lastModifiedBy>
  <cp:lastPrinted>2023-06-06T00:16:00Z</cp:lastPrinted>
  <dcterms:modified xsi:type="dcterms:W3CDTF">2024-09-11T01:20:39Z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2052-12.1.0.17142</vt:lpwstr>
  </property>
  <property fmtid="{D5CDD505-2E9C-101B-9397-08002B2CF9AE}" pid="3" name="ICV">
    <vt:lpwstr>6A810F2FE17A45208EA024A7BA16CE91_13</vt:lpwstr>
  </property>
</Properties>
</file>